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23319"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4AEF1116"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506F4C03"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2020</w:t>
      </w:r>
      <w:r w:rsidRPr="007D422F">
        <w:rPr>
          <w:rFonts w:asciiTheme="minorEastAsia" w:hAnsiTheme="minorEastAsia" w:hint="eastAsia"/>
          <w:sz w:val="20"/>
          <w:szCs w:val="20"/>
        </w:rPr>
        <w:t>年</w:t>
      </w:r>
      <w:r w:rsidRPr="007D422F">
        <w:rPr>
          <w:rFonts w:asciiTheme="minorEastAsia" w:hAnsiTheme="minorEastAsia"/>
          <w:sz w:val="20"/>
          <w:szCs w:val="20"/>
        </w:rPr>
        <w:t>06</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7047330F" w14:textId="77777777" w:rsidTr="003F20F5">
        <w:tc>
          <w:tcPr>
            <w:tcW w:w="9968" w:type="dxa"/>
            <w:gridSpan w:val="2"/>
          </w:tcPr>
          <w:p w14:paraId="58C3F2D1"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582C763D" w14:textId="77777777" w:rsidTr="009166E6">
        <w:trPr>
          <w:trHeight w:val="1134"/>
        </w:trPr>
        <w:tc>
          <w:tcPr>
            <w:tcW w:w="7807" w:type="dxa"/>
          </w:tcPr>
          <w:p w14:paraId="767EBF4E"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セレコキシブ錠</w:t>
            </w:r>
            <w:r w:rsidRPr="000600ED">
              <w:rPr>
                <w:rFonts w:asciiTheme="majorEastAsia" w:eastAsiaTheme="majorEastAsia" w:hAnsiTheme="majorEastAsia"/>
                <w:b/>
                <w:sz w:val="24"/>
                <w:szCs w:val="24"/>
              </w:rPr>
              <w:t>100mg</w:t>
            </w:r>
            <w:r w:rsidRPr="000600ED">
              <w:rPr>
                <w:rFonts w:asciiTheme="majorEastAsia" w:eastAsiaTheme="majorEastAsia" w:hAnsiTheme="majorEastAsia" w:hint="eastAsia"/>
                <w:b/>
                <w:sz w:val="24"/>
                <w:szCs w:val="24"/>
              </w:rPr>
              <w:t>「三笠」</w:t>
            </w:r>
          </w:p>
          <w:p w14:paraId="777E1316"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セレコキシブ</w:t>
            </w:r>
            <w:r w:rsidRPr="000600ED">
              <w:rPr>
                <w:rFonts w:asciiTheme="minorEastAsia" w:hAnsiTheme="minorEastAsia"/>
                <w:sz w:val="20"/>
                <w:szCs w:val="20"/>
              </w:rPr>
              <w:t>(Celecoxib)</w:t>
            </w:r>
          </w:p>
          <w:p w14:paraId="3AAF27A8"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白色の割線入り錠剤、直径</w:t>
            </w:r>
            <w:r w:rsidRPr="000600ED">
              <w:rPr>
                <w:rFonts w:asciiTheme="minorEastAsia" w:hAnsiTheme="minorEastAsia"/>
                <w:sz w:val="20"/>
                <w:szCs w:val="20"/>
              </w:rPr>
              <w:t>8.0mm</w:t>
            </w:r>
            <w:r w:rsidRPr="000600ED">
              <w:rPr>
                <w:rFonts w:asciiTheme="minorEastAsia" w:hAnsiTheme="minorEastAsia" w:hint="eastAsia"/>
                <w:sz w:val="20"/>
                <w:szCs w:val="20"/>
              </w:rPr>
              <w:t>、厚さ</w:t>
            </w:r>
            <w:r w:rsidRPr="000600ED">
              <w:rPr>
                <w:rFonts w:asciiTheme="minorEastAsia" w:hAnsiTheme="minorEastAsia"/>
                <w:sz w:val="20"/>
                <w:szCs w:val="20"/>
              </w:rPr>
              <w:t>2.8mm</w:t>
            </w:r>
          </w:p>
          <w:p w14:paraId="6C912AD3"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（表）セレコキシブ、</w:t>
            </w:r>
            <w:r w:rsidR="000600ED" w:rsidRPr="000600ED">
              <w:rPr>
                <w:rFonts w:asciiTheme="minorEastAsia" w:hAnsiTheme="minorEastAsia"/>
                <w:sz w:val="20"/>
                <w:szCs w:val="20"/>
              </w:rPr>
              <w:t>100</w:t>
            </w:r>
            <w:r w:rsidR="000600ED" w:rsidRPr="000600ED">
              <w:rPr>
                <w:rFonts w:asciiTheme="minorEastAsia" w:hAnsiTheme="minorEastAsia" w:hint="eastAsia"/>
                <w:sz w:val="20"/>
                <w:szCs w:val="20"/>
              </w:rPr>
              <w:t>、三笠（裏）セレコキシブ、</w:t>
            </w:r>
            <w:r w:rsidR="000600ED" w:rsidRPr="000600ED">
              <w:rPr>
                <w:rFonts w:asciiTheme="minorEastAsia" w:hAnsiTheme="minorEastAsia"/>
                <w:sz w:val="20"/>
                <w:szCs w:val="20"/>
              </w:rPr>
              <w:t>100</w:t>
            </w:r>
            <w:r w:rsidR="000600ED" w:rsidRPr="000600ED">
              <w:rPr>
                <w:rFonts w:asciiTheme="minorEastAsia" w:hAnsiTheme="minorEastAsia" w:hint="eastAsia"/>
                <w:sz w:val="20"/>
                <w:szCs w:val="20"/>
              </w:rPr>
              <w:t>、三笠</w:t>
            </w:r>
          </w:p>
        </w:tc>
        <w:tc>
          <w:tcPr>
            <w:tcW w:w="2161" w:type="dxa"/>
          </w:tcPr>
          <w:p w14:paraId="1824D5D8"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40DFDE1A" wp14:editId="675861B0">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29C28881" w14:textId="77777777" w:rsidTr="003F20F5">
        <w:tc>
          <w:tcPr>
            <w:tcW w:w="9968" w:type="dxa"/>
            <w:gridSpan w:val="2"/>
          </w:tcPr>
          <w:p w14:paraId="3CC0F9E5"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523FAA12" w14:textId="77777777" w:rsidR="00000000" w:rsidRDefault="000600ED" w:rsidP="003F20F5">
            <w:pPr>
              <w:ind w:leftChars="100" w:left="210"/>
              <w:jc w:val="left"/>
            </w:pPr>
            <w:r w:rsidRPr="000600ED">
              <w:rPr>
                <w:rFonts w:asciiTheme="minorEastAsia" w:hAnsiTheme="minorEastAsia" w:hint="eastAsia"/>
                <w:sz w:val="20"/>
                <w:szCs w:val="20"/>
              </w:rPr>
              <w:t>炎症部位のシクロオキシゲナーゼ</w:t>
            </w:r>
            <w:r w:rsidRPr="000600ED">
              <w:rPr>
                <w:rFonts w:asciiTheme="minorEastAsia" w:hAnsiTheme="minorEastAsia"/>
                <w:sz w:val="20"/>
                <w:szCs w:val="20"/>
              </w:rPr>
              <w:t>-2</w:t>
            </w:r>
            <w:r w:rsidRPr="000600ED">
              <w:rPr>
                <w:rFonts w:asciiTheme="minorEastAsia" w:hAnsiTheme="minorEastAsia" w:hint="eastAsia"/>
                <w:sz w:val="20"/>
                <w:szCs w:val="20"/>
              </w:rPr>
              <w:t>を選択的に阻害しプロスタグランジンの合成を抑えることにより、消炎・鎮痛作用を示し、炎症や痛みを和らげます。</w:t>
            </w:r>
          </w:p>
          <w:p w14:paraId="6F6C533F"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通常、関節リウマチ、変形性関節症、腰痛症、肩関節周囲炎、頸肩腕症候群、腱・腱鞘炎の治療とその症状の消炎・鎮痛や手術後、外傷後、抜歯後の消炎・鎮痛に用いられます。</w:t>
            </w:r>
          </w:p>
        </w:tc>
      </w:tr>
      <w:tr w:rsidR="00D24830" w14:paraId="58602120" w14:textId="77777777" w:rsidTr="003F20F5">
        <w:tc>
          <w:tcPr>
            <w:tcW w:w="9968" w:type="dxa"/>
            <w:gridSpan w:val="2"/>
          </w:tcPr>
          <w:p w14:paraId="26FB9701"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1CDCC88C"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アスピリン喘息またはその既往歴がある、消化性潰瘍、肝障害、腎障害、心機能不全、冠動脈バイパス再建術の術前～術後の期間にあたる。</w:t>
            </w:r>
          </w:p>
          <w:p w14:paraId="5D066BC3" w14:textId="77777777" w:rsidR="00000000" w:rsidRDefault="000600ED" w:rsidP="001456F1">
            <w:pPr>
              <w:ind w:leftChars="100" w:left="410" w:hangingChars="100" w:hanging="200"/>
            </w:pPr>
            <w:r w:rsidRPr="000600ED">
              <w:rPr>
                <w:rFonts w:asciiTheme="minorEastAsia" w:hAnsiTheme="minorEastAsia" w:hint="eastAsia"/>
                <w:sz w:val="20"/>
                <w:szCs w:val="20"/>
              </w:rPr>
              <w:t>・妊娠または授乳中</w:t>
            </w:r>
          </w:p>
          <w:p w14:paraId="5A610DED"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0CEFE2ED" w14:textId="77777777" w:rsidTr="003F20F5">
        <w:trPr>
          <w:trHeight w:val="788"/>
        </w:trPr>
        <w:tc>
          <w:tcPr>
            <w:tcW w:w="9968" w:type="dxa"/>
            <w:gridSpan w:val="2"/>
          </w:tcPr>
          <w:p w14:paraId="7AE3B545"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0CAE0072"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0A53C9F1" w14:textId="77777777" w:rsidR="00000000"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関節リウマチ</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2</w:t>
            </w:r>
            <w:r w:rsidRPr="000600ED">
              <w:rPr>
                <w:rFonts w:asciiTheme="minorEastAsia" w:hAnsiTheme="minorEastAsia" w:hint="eastAsia"/>
                <w:sz w:val="20"/>
                <w:szCs w:val="20"/>
              </w:rPr>
              <w:t>錠（主成分として</w:t>
            </w:r>
            <w:r w:rsidRPr="000600ED">
              <w:rPr>
                <w:rFonts w:asciiTheme="minorEastAsia" w:hAnsiTheme="minorEastAsia"/>
                <w:sz w:val="20"/>
                <w:szCs w:val="20"/>
              </w:rPr>
              <w:t>100</w:t>
            </w:r>
            <w:r w:rsidRPr="000600ED">
              <w:rPr>
                <w:rFonts w:asciiTheme="minorEastAsia" w:hAnsiTheme="minorEastAsia" w:hint="eastAsia"/>
                <w:sz w:val="20"/>
                <w:szCs w:val="20"/>
              </w:rPr>
              <w:t>～</w:t>
            </w:r>
            <w:r w:rsidRPr="000600ED">
              <w:rPr>
                <w:rFonts w:asciiTheme="minorEastAsia" w:hAnsiTheme="minorEastAsia"/>
                <w:sz w:val="20"/>
                <w:szCs w:val="20"/>
              </w:rPr>
              <w:t>200mg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回、朝・夕食後に服用します。</w:t>
            </w:r>
          </w:p>
          <w:p w14:paraId="4B76E2B0" w14:textId="77777777" w:rsidR="00000000" w:rsidRDefault="000600ED" w:rsidP="002B76BF">
            <w:pPr>
              <w:ind w:leftChars="200" w:left="420"/>
            </w:pPr>
            <w:r w:rsidRPr="000600ED">
              <w:rPr>
                <w:rFonts w:asciiTheme="minorEastAsia" w:hAnsiTheme="minorEastAsia" w:hint="eastAsia"/>
                <w:sz w:val="20"/>
                <w:szCs w:val="20"/>
                <w:u w:val="single"/>
              </w:rPr>
              <w:t>変形性関節症、腰痛症、肩関節周囲炎、頸肩腕症候群、腱・腱鞘炎</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錠（主成分として</w:t>
            </w:r>
            <w:r w:rsidRPr="000600ED">
              <w:rPr>
                <w:rFonts w:asciiTheme="minorEastAsia" w:hAnsiTheme="minorEastAsia"/>
                <w:sz w:val="20"/>
                <w:szCs w:val="20"/>
              </w:rPr>
              <w:t>100mg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回、朝・夕食後に服用します。</w:t>
            </w:r>
          </w:p>
          <w:p w14:paraId="2AE3665C" w14:textId="77777777" w:rsidR="00000000" w:rsidRDefault="000600ED" w:rsidP="002B76BF">
            <w:pPr>
              <w:ind w:leftChars="200" w:left="420"/>
            </w:pPr>
            <w:r w:rsidRPr="000600ED">
              <w:rPr>
                <w:rFonts w:asciiTheme="minorEastAsia" w:hAnsiTheme="minorEastAsia" w:hint="eastAsia"/>
                <w:sz w:val="20"/>
                <w:szCs w:val="20"/>
                <w:u w:val="single"/>
              </w:rPr>
              <w:t>手術後、外傷後、抜歯後</w:t>
            </w:r>
            <w:r w:rsidRPr="000600ED">
              <w:rPr>
                <w:rFonts w:asciiTheme="minorEastAsia" w:hAnsiTheme="minorEastAsia" w:hint="eastAsia"/>
                <w:sz w:val="20"/>
                <w:szCs w:val="20"/>
              </w:rPr>
              <w:t>：通常、成人は初回のみ</w:t>
            </w:r>
            <w:r w:rsidRPr="000600ED">
              <w:rPr>
                <w:rFonts w:asciiTheme="minorEastAsia" w:hAnsiTheme="minorEastAsia"/>
                <w:sz w:val="20"/>
                <w:szCs w:val="20"/>
              </w:rPr>
              <w:t>4</w:t>
            </w:r>
            <w:r w:rsidRPr="000600ED">
              <w:rPr>
                <w:rFonts w:asciiTheme="minorEastAsia" w:hAnsiTheme="minorEastAsia" w:hint="eastAsia"/>
                <w:sz w:val="20"/>
                <w:szCs w:val="20"/>
              </w:rPr>
              <w:t>錠（主成分として</w:t>
            </w:r>
            <w:r w:rsidRPr="000600ED">
              <w:rPr>
                <w:rFonts w:asciiTheme="minorEastAsia" w:hAnsiTheme="minorEastAsia"/>
                <w:sz w:val="20"/>
                <w:szCs w:val="20"/>
              </w:rPr>
              <w:t>400mg</w:t>
            </w:r>
            <w:r w:rsidRPr="000600ED">
              <w:rPr>
                <w:rFonts w:asciiTheme="minorEastAsia" w:hAnsiTheme="minorEastAsia" w:hint="eastAsia"/>
                <w:sz w:val="20"/>
                <w:szCs w:val="20"/>
              </w:rPr>
              <w:t>）、</w:t>
            </w:r>
            <w:r w:rsidRPr="000600ED">
              <w:rPr>
                <w:rFonts w:asciiTheme="minorEastAsia" w:hAnsiTheme="minorEastAsia"/>
                <w:sz w:val="20"/>
                <w:szCs w:val="20"/>
              </w:rPr>
              <w:t>2</w:t>
            </w:r>
            <w:r w:rsidRPr="000600ED">
              <w:rPr>
                <w:rFonts w:asciiTheme="minorEastAsia" w:hAnsiTheme="minorEastAsia" w:hint="eastAsia"/>
                <w:sz w:val="20"/>
                <w:szCs w:val="20"/>
              </w:rPr>
              <w:t>回目以降は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錠（</w:t>
            </w:r>
            <w:r w:rsidRPr="000600ED">
              <w:rPr>
                <w:rFonts w:asciiTheme="minorEastAsia" w:hAnsiTheme="minorEastAsia"/>
                <w:sz w:val="20"/>
                <w:szCs w:val="20"/>
              </w:rPr>
              <w:t>200mg</w:t>
            </w:r>
            <w:r w:rsidRPr="000600ED">
              <w:rPr>
                <w:rFonts w:asciiTheme="minorEastAsia" w:hAnsiTheme="minorEastAsia" w:hint="eastAsia"/>
                <w:sz w:val="20"/>
                <w:szCs w:val="20"/>
              </w:rPr>
              <w:t>）として</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回服用します。服用間隔は</w:t>
            </w:r>
            <w:r w:rsidRPr="000600ED">
              <w:rPr>
                <w:rFonts w:asciiTheme="minorEastAsia" w:hAnsiTheme="minorEastAsia"/>
                <w:sz w:val="20"/>
                <w:szCs w:val="20"/>
              </w:rPr>
              <w:t>6</w:t>
            </w:r>
            <w:r w:rsidRPr="000600ED">
              <w:rPr>
                <w:rFonts w:asciiTheme="minorEastAsia" w:hAnsiTheme="minorEastAsia" w:hint="eastAsia"/>
                <w:sz w:val="20"/>
                <w:szCs w:val="20"/>
              </w:rPr>
              <w:t>時間以上あけてください。頓用の場合は初回のみ</w:t>
            </w:r>
            <w:r w:rsidRPr="000600ED">
              <w:rPr>
                <w:rFonts w:asciiTheme="minorEastAsia" w:hAnsiTheme="minorEastAsia"/>
                <w:sz w:val="20"/>
                <w:szCs w:val="20"/>
              </w:rPr>
              <w:t>4</w:t>
            </w:r>
            <w:r w:rsidRPr="000600ED">
              <w:rPr>
                <w:rFonts w:asciiTheme="minorEastAsia" w:hAnsiTheme="minorEastAsia" w:hint="eastAsia"/>
                <w:sz w:val="20"/>
                <w:szCs w:val="20"/>
              </w:rPr>
              <w:t>錠（</w:t>
            </w:r>
            <w:r w:rsidRPr="000600ED">
              <w:rPr>
                <w:rFonts w:asciiTheme="minorEastAsia" w:hAnsiTheme="minorEastAsia"/>
                <w:sz w:val="20"/>
                <w:szCs w:val="20"/>
              </w:rPr>
              <w:t>400mg</w:t>
            </w:r>
            <w:r w:rsidRPr="000600ED">
              <w:rPr>
                <w:rFonts w:asciiTheme="minorEastAsia" w:hAnsiTheme="minorEastAsia" w:hint="eastAsia"/>
                <w:sz w:val="20"/>
                <w:szCs w:val="20"/>
              </w:rPr>
              <w:t>）、必要に応じて</w:t>
            </w:r>
            <w:r w:rsidRPr="000600ED">
              <w:rPr>
                <w:rFonts w:asciiTheme="minorEastAsia" w:hAnsiTheme="minorEastAsia"/>
                <w:sz w:val="20"/>
                <w:szCs w:val="20"/>
              </w:rPr>
              <w:t>2</w:t>
            </w:r>
            <w:r w:rsidRPr="000600ED">
              <w:rPr>
                <w:rFonts w:asciiTheme="minorEastAsia" w:hAnsiTheme="minorEastAsia" w:hint="eastAsia"/>
                <w:sz w:val="20"/>
                <w:szCs w:val="20"/>
              </w:rPr>
              <w:t>回目以降は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錠（</w:t>
            </w:r>
            <w:r w:rsidRPr="000600ED">
              <w:rPr>
                <w:rFonts w:asciiTheme="minorEastAsia" w:hAnsiTheme="minorEastAsia"/>
                <w:sz w:val="20"/>
                <w:szCs w:val="20"/>
              </w:rPr>
              <w:t>200mg</w:t>
            </w:r>
            <w:r w:rsidRPr="000600ED">
              <w:rPr>
                <w:rFonts w:asciiTheme="minorEastAsia" w:hAnsiTheme="minorEastAsia" w:hint="eastAsia"/>
                <w:sz w:val="20"/>
                <w:szCs w:val="20"/>
              </w:rPr>
              <w:t>）を</w:t>
            </w:r>
            <w:r w:rsidRPr="000600ED">
              <w:rPr>
                <w:rFonts w:asciiTheme="minorEastAsia" w:hAnsiTheme="minorEastAsia"/>
                <w:sz w:val="20"/>
                <w:szCs w:val="20"/>
              </w:rPr>
              <w:t>6</w:t>
            </w:r>
            <w:r w:rsidRPr="000600ED">
              <w:rPr>
                <w:rFonts w:asciiTheme="minorEastAsia" w:hAnsiTheme="minorEastAsia" w:hint="eastAsia"/>
                <w:sz w:val="20"/>
                <w:szCs w:val="20"/>
              </w:rPr>
              <w:t>時間以上あけて服用します。ただし、</w:t>
            </w:r>
            <w:r w:rsidRPr="000600ED">
              <w:rPr>
                <w:rFonts w:asciiTheme="minorEastAsia" w:hAnsiTheme="minorEastAsia"/>
                <w:sz w:val="20"/>
                <w:szCs w:val="20"/>
              </w:rPr>
              <w:t>1</w:t>
            </w:r>
            <w:r w:rsidRPr="000600ED">
              <w:rPr>
                <w:rFonts w:asciiTheme="minorEastAsia" w:hAnsiTheme="minorEastAsia" w:hint="eastAsia"/>
                <w:sz w:val="20"/>
                <w:szCs w:val="20"/>
              </w:rPr>
              <w:t>日の服用は</w:t>
            </w:r>
            <w:r w:rsidRPr="000600ED">
              <w:rPr>
                <w:rFonts w:asciiTheme="minorEastAsia" w:hAnsiTheme="minorEastAsia"/>
                <w:sz w:val="20"/>
                <w:szCs w:val="20"/>
              </w:rPr>
              <w:t>2</w:t>
            </w:r>
            <w:r w:rsidRPr="000600ED">
              <w:rPr>
                <w:rFonts w:asciiTheme="minorEastAsia" w:hAnsiTheme="minorEastAsia" w:hint="eastAsia"/>
                <w:sz w:val="20"/>
                <w:szCs w:val="20"/>
              </w:rPr>
              <w:t>回までです。</w:t>
            </w:r>
          </w:p>
          <w:p w14:paraId="70DAAAE4" w14:textId="77777777" w:rsidR="00000000" w:rsidRDefault="000600ED" w:rsidP="002B76BF">
            <w:pPr>
              <w:ind w:leftChars="200" w:left="420"/>
            </w:pPr>
            <w:r w:rsidRPr="000600ED">
              <w:rPr>
                <w:rFonts w:asciiTheme="minorEastAsia" w:hAnsiTheme="minorEastAsia" w:hint="eastAsia"/>
                <w:sz w:val="20"/>
                <w:szCs w:val="20"/>
              </w:rPr>
              <w:t>いずれの場合も必ず指示された服用方法に従ってください。</w:t>
            </w:r>
          </w:p>
          <w:p w14:paraId="0FDAD402" w14:textId="77777777" w:rsidR="00000000" w:rsidRDefault="000600ED" w:rsidP="001456F1">
            <w:pPr>
              <w:ind w:leftChars="100" w:left="410" w:hangingChars="100" w:hanging="200"/>
            </w:pPr>
            <w:r w:rsidRPr="000600ED">
              <w:rPr>
                <w:rFonts w:asciiTheme="minorEastAsia" w:hAnsiTheme="minorEastAsia" w:hint="eastAsia"/>
                <w:sz w:val="20"/>
                <w:szCs w:val="20"/>
              </w:rPr>
              <w:t>・飲み忘れた場合は、気がついた時にできるだけ早く</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回分を飲んでください。ただし、次の通常飲む時間が近い場合は</w:t>
            </w:r>
            <w:r w:rsidRPr="000600ED">
              <w:rPr>
                <w:rFonts w:asciiTheme="minorEastAsia" w:hAnsiTheme="minorEastAsia"/>
                <w:sz w:val="20"/>
                <w:szCs w:val="20"/>
              </w:rPr>
              <w:t>1</w:t>
            </w:r>
            <w:r w:rsidRPr="000600ED">
              <w:rPr>
                <w:rFonts w:asciiTheme="minorEastAsia" w:hAnsiTheme="minorEastAsia" w:hint="eastAsia"/>
                <w:sz w:val="20"/>
                <w:szCs w:val="20"/>
              </w:rPr>
              <w:t>回とばして、次の服用時に</w:t>
            </w:r>
            <w:r w:rsidRPr="000600ED">
              <w:rPr>
                <w:rFonts w:asciiTheme="minorEastAsia" w:hAnsiTheme="minorEastAsia"/>
                <w:sz w:val="20"/>
                <w:szCs w:val="20"/>
              </w:rPr>
              <w:t>1</w:t>
            </w:r>
            <w:r w:rsidRPr="000600ED">
              <w:rPr>
                <w:rFonts w:asciiTheme="minorEastAsia" w:hAnsiTheme="minorEastAsia" w:hint="eastAsia"/>
                <w:sz w:val="20"/>
                <w:szCs w:val="20"/>
              </w:rPr>
              <w:t>回分飲んでください。絶対に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590408D9" w14:textId="77777777" w:rsidR="00000000"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0AD4488C"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w:t>
            </w:r>
          </w:p>
        </w:tc>
      </w:tr>
      <w:tr w:rsidR="00D24830" w14:paraId="0EAC3AE7" w14:textId="77777777" w:rsidTr="003F20F5">
        <w:tc>
          <w:tcPr>
            <w:tcW w:w="9968" w:type="dxa"/>
            <w:gridSpan w:val="2"/>
          </w:tcPr>
          <w:p w14:paraId="69E15D2F"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05C0D208" w14:textId="77777777" w:rsidR="00000000" w:rsidRDefault="000600ED" w:rsidP="003F20F5">
            <w:pPr>
              <w:ind w:leftChars="100" w:left="410" w:hangingChars="100" w:hanging="200"/>
              <w:jc w:val="left"/>
            </w:pPr>
            <w:r w:rsidRPr="000600ED">
              <w:rPr>
                <w:rFonts w:asciiTheme="minorEastAsia" w:hAnsiTheme="minorEastAsia" w:hint="eastAsia"/>
                <w:sz w:val="20"/>
                <w:szCs w:val="20"/>
              </w:rPr>
              <w:t>・この薬を使用中にめまいや傾眠（ぼんやりする）などがあらわれることがありますので、自動車の運転など危険を伴う作業をするときには十分注意してください。</w:t>
            </w:r>
          </w:p>
          <w:p w14:paraId="51463D58" w14:textId="77777777" w:rsidR="00D24830" w:rsidRPr="000600ED" w:rsidRDefault="00D24830" w:rsidP="003F20F5">
            <w:pPr>
              <w:ind w:leftChars="100" w:left="410" w:hangingChars="100" w:hanging="200"/>
              <w:jc w:val="left"/>
              <w:rPr>
                <w:rFonts w:asciiTheme="minorEastAsia"/>
                <w:sz w:val="20"/>
                <w:szCs w:val="20"/>
              </w:rPr>
            </w:pPr>
          </w:p>
        </w:tc>
      </w:tr>
      <w:tr w:rsidR="00D24830" w14:paraId="6A255782" w14:textId="77777777" w:rsidTr="003F20F5">
        <w:tc>
          <w:tcPr>
            <w:tcW w:w="9968" w:type="dxa"/>
            <w:gridSpan w:val="2"/>
          </w:tcPr>
          <w:p w14:paraId="005C72E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75B0F097"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主な副作用として、腹痛、口内炎、下痢、吐き気、発疹などが報告されています。このような症状に気づいたら、担当の医師または薬剤師に相談してください。</w:t>
            </w:r>
          </w:p>
          <w:p w14:paraId="200AC78C"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5895FCEE"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0D1523B6"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・顔面蒼白、冷汗、立ちくらみ</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w:t>
            </w:r>
            <w:r w:rsidRPr="000600ED">
              <w:rPr>
                <w:rFonts w:asciiTheme="minorEastAsia" w:hAnsiTheme="minorEastAsia"/>
                <w:sz w:val="20"/>
                <w:szCs w:val="20"/>
              </w:rPr>
              <w:t>]</w:t>
            </w:r>
          </w:p>
          <w:p w14:paraId="7F07AA25"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・腹痛、吐血、下血</w:t>
            </w:r>
            <w:r w:rsidRPr="000600ED">
              <w:rPr>
                <w:rFonts w:asciiTheme="minorEastAsia" w:hAnsiTheme="minorEastAsia"/>
                <w:sz w:val="20"/>
                <w:szCs w:val="20"/>
              </w:rPr>
              <w:t xml:space="preserve"> [</w:t>
            </w:r>
            <w:r w:rsidRPr="000600ED">
              <w:rPr>
                <w:rFonts w:asciiTheme="minorEastAsia" w:hAnsiTheme="minorEastAsia" w:hint="eastAsia"/>
                <w:sz w:val="20"/>
                <w:szCs w:val="20"/>
              </w:rPr>
              <w:t>消化性潰瘍、消化管出血、消化管穿孔</w:t>
            </w:r>
            <w:r w:rsidRPr="000600ED">
              <w:rPr>
                <w:rFonts w:asciiTheme="minorEastAsia" w:hAnsiTheme="minorEastAsia"/>
                <w:sz w:val="20"/>
                <w:szCs w:val="20"/>
              </w:rPr>
              <w:t>]</w:t>
            </w:r>
          </w:p>
          <w:p w14:paraId="64175403"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・前胸部の圧迫感、胸がしめつけられるように痛い、冷汗</w:t>
            </w:r>
            <w:r w:rsidRPr="000600ED">
              <w:rPr>
                <w:rFonts w:asciiTheme="minorEastAsia" w:hAnsiTheme="minorEastAsia"/>
                <w:sz w:val="20"/>
                <w:szCs w:val="20"/>
              </w:rPr>
              <w:t xml:space="preserve"> [</w:t>
            </w:r>
            <w:r w:rsidRPr="000600ED">
              <w:rPr>
                <w:rFonts w:asciiTheme="minorEastAsia" w:hAnsiTheme="minorEastAsia" w:hint="eastAsia"/>
                <w:sz w:val="20"/>
                <w:szCs w:val="20"/>
              </w:rPr>
              <w:t>心筋梗塞、脳卒中</w:t>
            </w:r>
            <w:r w:rsidRPr="000600ED">
              <w:rPr>
                <w:rFonts w:asciiTheme="minorEastAsia" w:hAnsiTheme="minorEastAsia"/>
                <w:sz w:val="20"/>
                <w:szCs w:val="20"/>
              </w:rPr>
              <w:t>]</w:t>
            </w:r>
          </w:p>
          <w:p w14:paraId="6DFED99E"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・息切れ、全身のむくみ、咳がでる</w:t>
            </w:r>
            <w:r w:rsidRPr="000600ED">
              <w:rPr>
                <w:rFonts w:asciiTheme="minorEastAsia" w:hAnsiTheme="minorEastAsia"/>
                <w:sz w:val="20"/>
                <w:szCs w:val="20"/>
              </w:rPr>
              <w:t xml:space="preserve"> [</w:t>
            </w:r>
            <w:r w:rsidRPr="000600ED">
              <w:rPr>
                <w:rFonts w:asciiTheme="minorEastAsia" w:hAnsiTheme="minorEastAsia" w:hint="eastAsia"/>
                <w:sz w:val="20"/>
                <w:szCs w:val="20"/>
              </w:rPr>
              <w:t>心不全、うっ血性心不全</w:t>
            </w:r>
            <w:r w:rsidRPr="000600ED">
              <w:rPr>
                <w:rFonts w:asciiTheme="minorEastAsia" w:hAnsiTheme="minorEastAsia"/>
                <w:sz w:val="20"/>
                <w:szCs w:val="20"/>
              </w:rPr>
              <w:t>]</w:t>
            </w:r>
          </w:p>
          <w:p w14:paraId="64EF7D21"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・発熱、紅斑、水疱・膿疱・びらん</w:t>
            </w:r>
            <w:r w:rsidRPr="000600ED">
              <w:rPr>
                <w:rFonts w:asciiTheme="minorEastAsia" w:hAnsiTheme="minorEastAsia"/>
                <w:sz w:val="20"/>
                <w:szCs w:val="20"/>
              </w:rPr>
              <w:t xml:space="preserve"> [</w:t>
            </w:r>
            <w:r w:rsidRPr="000600ED">
              <w:rPr>
                <w:rFonts w:asciiTheme="minorEastAsia" w:hAnsiTheme="minorEastAsia" w:hint="eastAsia"/>
                <w:sz w:val="20"/>
                <w:szCs w:val="20"/>
              </w:rPr>
              <w:t>中毒性表皮壊死融解症、皮膚粘膜眼症候群、多形紅斑、急性汎発性発疹性膿疱症、剥脱性皮膚炎</w:t>
            </w:r>
            <w:r w:rsidRPr="000600ED">
              <w:rPr>
                <w:rFonts w:asciiTheme="minorEastAsia" w:hAnsiTheme="minorEastAsia"/>
                <w:sz w:val="20"/>
                <w:szCs w:val="20"/>
              </w:rPr>
              <w:t>]</w:t>
            </w:r>
          </w:p>
          <w:p w14:paraId="52A04935"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2B37A3D3" w14:textId="77777777" w:rsidTr="003F20F5">
        <w:tc>
          <w:tcPr>
            <w:tcW w:w="9968" w:type="dxa"/>
            <w:gridSpan w:val="2"/>
          </w:tcPr>
          <w:p w14:paraId="359B0D9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18651AE5"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79C59024"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・薬が残った場合、保管しないで廃棄してください。廃棄については受け取った薬局や医療機関に相談してください。</w:t>
            </w:r>
          </w:p>
        </w:tc>
      </w:tr>
      <w:tr w:rsidR="00D24830" w14:paraId="5DF3E1E8" w14:textId="77777777" w:rsidTr="003F20F5">
        <w:tc>
          <w:tcPr>
            <w:tcW w:w="9968" w:type="dxa"/>
            <w:gridSpan w:val="2"/>
          </w:tcPr>
          <w:p w14:paraId="10949B1D"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lastRenderedPageBreak/>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300F69A0" w14:textId="77777777" w:rsidR="00D24830" w:rsidRDefault="00D24830" w:rsidP="003F20F5">
            <w:pPr>
              <w:rPr>
                <w:rFonts w:asciiTheme="minorEastAsia"/>
                <w:sz w:val="20"/>
                <w:szCs w:val="20"/>
              </w:rPr>
            </w:pPr>
          </w:p>
          <w:p w14:paraId="5A53DA8B" w14:textId="77777777" w:rsidR="00D24830" w:rsidRPr="007D422F" w:rsidRDefault="00D24830" w:rsidP="003F20F5">
            <w:pPr>
              <w:rPr>
                <w:rFonts w:asciiTheme="majorEastAsia" w:eastAsiaTheme="majorEastAsia" w:hAnsiTheme="majorEastAsia"/>
                <w:sz w:val="20"/>
                <w:szCs w:val="20"/>
              </w:rPr>
            </w:pPr>
          </w:p>
        </w:tc>
      </w:tr>
    </w:tbl>
    <w:p w14:paraId="702E7232"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患者向医薬品ガイド」、医療専門家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4CA14" w14:textId="77777777" w:rsidR="005676BB" w:rsidRDefault="005676BB" w:rsidP="005676BB">
      <w:r>
        <w:separator/>
      </w:r>
    </w:p>
  </w:endnote>
  <w:endnote w:type="continuationSeparator" w:id="0">
    <w:p w14:paraId="5E0756D3"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06AE7"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87966" w14:textId="77777777" w:rsidR="005676BB" w:rsidRDefault="005676BB" w:rsidP="005676BB">
      <w:r>
        <w:separator/>
      </w:r>
    </w:p>
  </w:footnote>
  <w:footnote w:type="continuationSeparator" w:id="0">
    <w:p w14:paraId="32E4344B"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2B76BF"/>
    <w:rsid w:val="003071A2"/>
    <w:rsid w:val="003333EC"/>
    <w:rsid w:val="003F20F5"/>
    <w:rsid w:val="00547602"/>
    <w:rsid w:val="005676BB"/>
    <w:rsid w:val="006A40B0"/>
    <w:rsid w:val="00764B98"/>
    <w:rsid w:val="007B113F"/>
    <w:rsid w:val="007D422F"/>
    <w:rsid w:val="008B2922"/>
    <w:rsid w:val="009166E6"/>
    <w:rsid w:val="00977C9A"/>
    <w:rsid w:val="00A31947"/>
    <w:rsid w:val="00AB2DE2"/>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8FBBAA"/>
  <w14:defaultImageDpi w14:val="0"/>
  <w15:docId w15:val="{461B1048-4106-4579-8F1A-DD52EE453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DHO079</cp:lastModifiedBy>
  <cp:revision>2</cp:revision>
  <dcterms:created xsi:type="dcterms:W3CDTF">2020-07-06T07:22:00Z</dcterms:created>
  <dcterms:modified xsi:type="dcterms:W3CDTF">2020-07-06T07:22:00Z</dcterms:modified>
</cp:coreProperties>
</file>