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BCF94" w14:textId="77777777" w:rsidR="00DB2351" w:rsidRDefault="00DB2351" w:rsidP="00C84836">
      <w:pPr>
        <w:jc w:val="center"/>
        <w:outlineLvl w:val="0"/>
        <w:rPr>
          <w:rFonts w:asciiTheme="majorHAnsi" w:eastAsiaTheme="majorEastAsia" w:hAnsiTheme="majorHAnsi" w:cs="游ゴシック Light"/>
          <w:sz w:val="24"/>
          <w:szCs w:val="24"/>
        </w:rPr>
      </w:pPr>
      <w:r w:rsidRPr="00244138">
        <w:rPr>
          <w:rFonts w:asciiTheme="majorHAnsi" w:eastAsiaTheme="majorEastAsia" w:hAnsiTheme="majorHAnsi" w:cs="游ゴシック Light"/>
          <w:sz w:val="28"/>
          <w:szCs w:val="24"/>
        </w:rPr>
        <w:t>Drug Information Sheet("Kusuri-no-Shiori")</w:t>
      </w:r>
    </w:p>
    <w:p w14:paraId="422745EB" w14:textId="77777777" w:rsidR="00DB2351" w:rsidRDefault="00DB2351" w:rsidP="00DB2351">
      <w:pPr>
        <w:jc w:val="right"/>
        <w:rPr>
          <w:rFonts w:ascii="ＭＳ Ｐ明朝" w:eastAsia="ＭＳ Ｐ明朝" w:hAnsi="ＭＳ Ｐ明朝"/>
          <w:sz w:val="20"/>
          <w:szCs w:val="20"/>
        </w:rPr>
      </w:pPr>
      <w:r w:rsidRPr="00507AE7">
        <w:rPr>
          <w:rFonts w:ascii="ＭＳ Ｐ明朝" w:eastAsia="ＭＳ Ｐ明朝" w:hAnsi="ＭＳ Ｐ明朝"/>
          <w:sz w:val="20"/>
          <w:szCs w:val="20"/>
        </w:rPr>
        <w:t>External</w:t>
      </w:r>
    </w:p>
    <w:p w14:paraId="77B22A73" w14:textId="77777777" w:rsidR="00DB2351" w:rsidRPr="00244138" w:rsidRDefault="00DB2351" w:rsidP="00DB2351">
      <w:pPr>
        <w:jc w:val="right"/>
        <w:rPr>
          <w:rFonts w:asciiTheme="majorHAnsi" w:eastAsiaTheme="majorEastAsia" w:hAnsiTheme="majorHAnsi" w:cs="游ゴシック Light"/>
          <w:sz w:val="24"/>
          <w:szCs w:val="24"/>
        </w:rPr>
      </w:pPr>
      <w:r w:rsidRPr="00507AE7">
        <w:rPr>
          <w:rFonts w:ascii="ＭＳ Ｐ明朝" w:eastAsia="ＭＳ Ｐ明朝" w:hAnsi="ＭＳ Ｐ明朝"/>
          <w:sz w:val="20"/>
          <w:szCs w:val="20"/>
        </w:rPr>
        <w:t>Published: 08/2023</w:t>
      </w:r>
    </w:p>
    <w:tbl>
      <w:tblPr>
        <w:tblStyle w:val="a3"/>
        <w:tblW w:w="0" w:type="auto"/>
        <w:tblLook w:val="04A0" w:firstRow="1" w:lastRow="0" w:firstColumn="1" w:lastColumn="0" w:noHBand="0" w:noVBand="1"/>
      </w:tblPr>
      <w:tblGrid>
        <w:gridCol w:w="7681"/>
        <w:gridCol w:w="2061"/>
      </w:tblGrid>
      <w:tr w:rsidR="00DB2351" w14:paraId="4A7EC73F" w14:textId="77777777" w:rsidTr="00600598">
        <w:tc>
          <w:tcPr>
            <w:tcW w:w="9968" w:type="dxa"/>
            <w:gridSpan w:val="2"/>
          </w:tcPr>
          <w:p w14:paraId="09137511" w14:textId="77777777" w:rsidR="00DB2351" w:rsidRPr="00244138" w:rsidRDefault="00DB2351" w:rsidP="00600598">
            <w:pPr>
              <w:jc w:val="left"/>
              <w:rPr>
                <w:rFonts w:asciiTheme="majorHAnsi" w:eastAsiaTheme="majorEastAsia" w:hAnsiTheme="majorHAnsi" w:cs="游ゴシック Light"/>
                <w:sz w:val="20"/>
                <w:szCs w:val="20"/>
              </w:rPr>
            </w:pPr>
            <w:r w:rsidRPr="00244138">
              <w:rPr>
                <w:rFonts w:asciiTheme="majorHAnsi" w:eastAsiaTheme="majorEastAsia" w:hAnsiTheme="majorHAnsi" w:cs="游ゴシック Light"/>
                <w:sz w:val="20"/>
                <w:szCs w:val="20"/>
              </w:rPr>
              <w:t>The information on this sheet is based on approvals granted by the Japanese regulatory authority. Approval details may vary by country. Medicines have adverse reactions (risks) as well as efficacies (benefits). It is important to minimize adverse reactions and maximize efficacy. To obtain a better therapeutic response, patients should understand their medication and cooperate with the treatment.</w:t>
            </w:r>
          </w:p>
        </w:tc>
      </w:tr>
      <w:tr w:rsidR="00DB2351" w14:paraId="6BECE659" w14:textId="77777777" w:rsidTr="002D19BC">
        <w:trPr>
          <w:trHeight w:val="1134"/>
        </w:trPr>
        <w:tc>
          <w:tcPr>
            <w:tcW w:w="7849" w:type="dxa"/>
          </w:tcPr>
          <w:p w14:paraId="7CAE8CF5" w14:textId="77777777" w:rsidR="00DB2351" w:rsidRPr="00507AE7" w:rsidRDefault="00DB2351" w:rsidP="00600598">
            <w:pPr>
              <w:ind w:left="1446" w:hangingChars="600" w:hanging="1446"/>
              <w:jc w:val="left"/>
              <w:rPr>
                <w:rFonts w:ascii="ＭＳ Ｐゴシック" w:eastAsia="ＭＳ Ｐゴシック" w:hAnsi="ＭＳ Ｐゴシック" w:cs="游ゴシック Light"/>
                <w:b/>
                <w:sz w:val="24"/>
                <w:szCs w:val="24"/>
              </w:rPr>
            </w:pPr>
            <w:r w:rsidRPr="00244138">
              <w:rPr>
                <w:rFonts w:asciiTheme="majorHAnsi" w:eastAsiaTheme="majorEastAsia" w:hAnsiTheme="majorHAnsi" w:cs="游ゴシック Light"/>
                <w:b/>
                <w:color w:val="FF0000"/>
                <w:sz w:val="24"/>
                <w:szCs w:val="24"/>
              </w:rPr>
              <w:t>Brand name:</w:t>
            </w:r>
            <w:r w:rsidRPr="00507AE7">
              <w:rPr>
                <w:rFonts w:ascii="ＭＳ Ｐゴシック" w:eastAsia="ＭＳ Ｐゴシック" w:hAnsi="ＭＳ Ｐゴシック" w:cs="游ゴシック Light"/>
                <w:b/>
                <w:sz w:val="24"/>
                <w:szCs w:val="24"/>
              </w:rPr>
              <w:t>FELBINAC STICK OINTMENT 3% "MIKASA"</w:t>
            </w:r>
          </w:p>
          <w:p w14:paraId="4F62815F" w14:textId="77777777" w:rsidR="00DB2351" w:rsidRPr="00507AE7" w:rsidRDefault="00DB2351" w:rsidP="00600598">
            <w:pPr>
              <w:ind w:leftChars="100" w:left="1816" w:hangingChars="800" w:hanging="1606"/>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Active ingredient:</w:t>
            </w:r>
            <w:r w:rsidRPr="00507AE7">
              <w:rPr>
                <w:rFonts w:ascii="ＭＳ Ｐ明朝" w:eastAsia="ＭＳ Ｐ明朝" w:hAnsi="ＭＳ Ｐ明朝"/>
                <w:sz w:val="20"/>
                <w:szCs w:val="20"/>
              </w:rPr>
              <w:t>Felbinac</w:t>
            </w:r>
          </w:p>
          <w:p w14:paraId="110A08C9" w14:textId="77777777" w:rsidR="00DB2351" w:rsidRPr="00507AE7" w:rsidRDefault="00DB2351" w:rsidP="00600598">
            <w:pPr>
              <w:ind w:leftChars="100" w:left="1415" w:hangingChars="600" w:hanging="1205"/>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Dosage form:</w:t>
            </w:r>
            <w:r w:rsidRPr="00507AE7">
              <w:rPr>
                <w:rFonts w:ascii="ＭＳ Ｐ明朝" w:eastAsia="ＭＳ Ｐ明朝" w:hAnsi="ＭＳ Ｐ明朝"/>
                <w:sz w:val="20"/>
                <w:szCs w:val="20"/>
              </w:rPr>
              <w:t>white to pale yellowish white translucent solid ointment, (bottle) white, (cap) blue</w:t>
            </w:r>
          </w:p>
          <w:p w14:paraId="48FFB061" w14:textId="77777777" w:rsidR="00DB2351" w:rsidRPr="00DF5189" w:rsidRDefault="00DB2351" w:rsidP="00600598">
            <w:pPr>
              <w:ind w:leftChars="100" w:left="1917" w:hangingChars="850" w:hanging="1707"/>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Imprint or print on wrapping:</w:t>
            </w:r>
            <w:r w:rsidR="008244C4" w:rsidRPr="00507AE7">
              <w:rPr>
                <w:rFonts w:ascii="ＭＳ Ｐ明朝" w:eastAsia="ＭＳ Ｐ明朝" w:hAnsi="ＭＳ Ｐ明朝"/>
                <w:sz w:val="20"/>
                <w:szCs w:val="20"/>
              </w:rPr>
              <w:t>MZ-FBS</w:t>
            </w:r>
          </w:p>
        </w:tc>
        <w:tc>
          <w:tcPr>
            <w:tcW w:w="2119" w:type="dxa"/>
          </w:tcPr>
          <w:p w14:paraId="141E5D45" w14:textId="77777777" w:rsidR="00DB2351" w:rsidRPr="00244138" w:rsidRDefault="00DB2351" w:rsidP="00C84836">
            <w:pPr>
              <w:jc w:val="center"/>
              <w:rPr>
                <w:rFonts w:ascii="Palatino Linotype" w:hAnsi="Palatino Linotype"/>
                <w:sz w:val="20"/>
                <w:szCs w:val="20"/>
              </w:rPr>
            </w:pPr>
            <w:r w:rsidRPr="00244138">
              <w:rPr>
                <w:rFonts w:ascii="Palatino Linotype" w:hAnsi="Palatino Linotype"/>
                <w:noProof/>
                <w:sz w:val="20"/>
                <w:szCs w:val="20"/>
              </w:rPr>
              <w:drawing>
                <wp:inline distT="0" distB="0" distL="0" distR="0" wp14:anchorId="218A0915" wp14:editId="478B41C5">
                  <wp:extent cx="304800"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647700"/>
                          </a:xfrm>
                          <a:prstGeom prst="rect">
                            <a:avLst/>
                          </a:prstGeom>
                          <a:noFill/>
                          <a:ln>
                            <a:noFill/>
                          </a:ln>
                        </pic:spPr>
                      </pic:pic>
                    </a:graphicData>
                  </a:graphic>
                </wp:inline>
              </w:drawing>
            </w:r>
          </w:p>
        </w:tc>
      </w:tr>
      <w:tr w:rsidR="00DB2351" w14:paraId="32A6638F" w14:textId="77777777" w:rsidTr="00600598">
        <w:tc>
          <w:tcPr>
            <w:tcW w:w="9968" w:type="dxa"/>
            <w:gridSpan w:val="2"/>
          </w:tcPr>
          <w:p w14:paraId="7A4DCCB4"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Effects of this medicine</w:t>
            </w:r>
          </w:p>
          <w:p w14:paraId="15B316A5" w14:textId="77777777" w:rsidR="00422648" w:rsidRDefault="008244C4" w:rsidP="00600598">
            <w:pPr>
              <w:ind w:leftChars="100" w:left="210"/>
              <w:jc w:val="left"/>
            </w:pPr>
            <w:r w:rsidRPr="00507AE7">
              <w:rPr>
                <w:rFonts w:ascii="ＭＳ Ｐ明朝" w:eastAsia="ＭＳ Ｐ明朝" w:hAnsi="ＭＳ Ｐ明朝"/>
                <w:sz w:val="20"/>
                <w:szCs w:val="20"/>
              </w:rPr>
              <w:t>This medicine penetrates from the skin, inhibits the synthesis of prostaglandins produced in the body and relieves swelling and pain induced by inflammation.</w:t>
            </w:r>
          </w:p>
          <w:p w14:paraId="12787828" w14:textId="77777777" w:rsidR="008244C4" w:rsidRPr="00507AE7" w:rsidRDefault="008244C4" w:rsidP="00600598">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It is usually used to relieve osteoarthritis, muscular/fascial low back pain, shoulder periarthritis, tendonitis/tenosynovitis, peritendinitis, humeral epicondylitis (tennis elbow), muscle pain and swelling/pain after an injury.</w:t>
            </w:r>
          </w:p>
        </w:tc>
      </w:tr>
      <w:tr w:rsidR="00DB2351" w14:paraId="214C345A" w14:textId="77777777" w:rsidTr="00600598">
        <w:tc>
          <w:tcPr>
            <w:tcW w:w="9968" w:type="dxa"/>
            <w:gridSpan w:val="2"/>
          </w:tcPr>
          <w:p w14:paraId="3446344D"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The following patients may need to be careful when using this medicine.Be sure to tell your doctor and pharmacist.</w:t>
            </w:r>
          </w:p>
          <w:p w14:paraId="04512F2A" w14:textId="77777777" w:rsidR="00422648" w:rsidRDefault="008244C4"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have previously experienced any allergic reactions (itch, rash, etc.) to any medicines or foods.</w:t>
            </w:r>
          </w:p>
          <w:p w14:paraId="398B12C9" w14:textId="77777777" w:rsidR="00422648" w:rsidRDefault="008244C4" w:rsidP="00105DF2">
            <w:pPr>
              <w:ind w:leftChars="150" w:left="315"/>
              <w:jc w:val="left"/>
            </w:pPr>
            <w:r w:rsidRPr="00507AE7">
              <w:rPr>
                <w:rFonts w:ascii="ＭＳ Ｐ明朝" w:eastAsia="ＭＳ Ｐ明朝" w:hAnsi="ＭＳ Ｐ明朝"/>
                <w:sz w:val="20"/>
                <w:szCs w:val="20"/>
              </w:rPr>
              <w:t>If you have or have a history of aspirin-induced asthma.</w:t>
            </w:r>
          </w:p>
          <w:p w14:paraId="275C6929" w14:textId="77777777" w:rsidR="00422648" w:rsidRDefault="008244C4" w:rsidP="00105DF2">
            <w:pPr>
              <w:ind w:leftChars="150" w:left="315"/>
              <w:jc w:val="left"/>
            </w:pPr>
            <w:r w:rsidRPr="00507AE7">
              <w:rPr>
                <w:rFonts w:ascii="ＭＳ Ｐ明朝" w:eastAsia="ＭＳ Ｐ明朝" w:hAnsi="ＭＳ Ｐ明朝"/>
                <w:sz w:val="20"/>
                <w:szCs w:val="20"/>
              </w:rPr>
              <w:t>If you have bronchial asthma.</w:t>
            </w:r>
          </w:p>
          <w:p w14:paraId="1F3B0FF4" w14:textId="77777777" w:rsidR="00422648" w:rsidRDefault="008244C4"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pregnant or breastfeeding.</w:t>
            </w:r>
          </w:p>
          <w:p w14:paraId="37DFD71D" w14:textId="77777777" w:rsidR="008244C4" w:rsidRPr="00507AE7" w:rsidRDefault="008244C4" w:rsidP="00A17BE1">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taking any other medicinal products. (Some medicines may interact to enhance or diminish medicinal effects. Beware of over-the-counter medicines and dietary supplements as well as other prescription medicines.)</w:t>
            </w:r>
          </w:p>
        </w:tc>
      </w:tr>
      <w:tr w:rsidR="00DB2351" w14:paraId="18168A43" w14:textId="77777777" w:rsidTr="00600598">
        <w:trPr>
          <w:trHeight w:val="740"/>
        </w:trPr>
        <w:tc>
          <w:tcPr>
            <w:tcW w:w="9968" w:type="dxa"/>
            <w:gridSpan w:val="2"/>
          </w:tcPr>
          <w:p w14:paraId="038118BF"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Dosing schedule (How to take this medicine)</w:t>
            </w:r>
          </w:p>
          <w:p w14:paraId="0A9F05C5" w14:textId="77777777" w:rsidR="00DB2351" w:rsidRPr="007F7472" w:rsidRDefault="00BF1AC3" w:rsidP="00600598">
            <w:pPr>
              <w:ind w:leftChars="100" w:left="410" w:hangingChars="100" w:hanging="200"/>
              <w:jc w:val="left"/>
              <w:rPr>
                <w:rFonts w:ascii="ＭＳ Ｐ明朝" w:eastAsia="ＭＳ Ｐ明朝" w:hAnsi="ＭＳ Ｐ明朝"/>
                <w:sz w:val="20"/>
                <w:szCs w:val="20"/>
              </w:rPr>
            </w:pPr>
            <w:r w:rsidRPr="00BF1AC3">
              <w:rPr>
                <w:rFonts w:ascii="ＭＳ Ｐゴシック" w:eastAsia="ＭＳ Ｐゴシック" w:hAnsi="ＭＳ Ｐゴシック" w:cs="游ゴシック Light" w:hint="eastAsia"/>
                <w:sz w:val="20"/>
                <w:szCs w:val="20"/>
              </w:rPr>
              <w:t>・</w:t>
            </w:r>
            <w:r w:rsidR="00DB2351" w:rsidRPr="001F6018">
              <w:rPr>
                <w:rFonts w:asciiTheme="majorHAnsi" w:eastAsiaTheme="majorEastAsia" w:hAnsiTheme="majorHAnsi" w:cs="游ゴシック Light"/>
                <w:sz w:val="20"/>
                <w:szCs w:val="20"/>
              </w:rPr>
              <w:t>Your dosing schedule prescribed by your doctor is</w:t>
            </w:r>
            <w:r w:rsidR="001161D6">
              <w:rPr>
                <w:rFonts w:asciiTheme="majorHAnsi" w:eastAsiaTheme="majorEastAsia" w:hAnsiTheme="majorHAnsi" w:cs="游ゴシック Light"/>
                <w:sz w:val="20"/>
                <w:szCs w:val="20"/>
              </w:rPr>
              <w:t>((</w:t>
            </w:r>
            <w:r w:rsidR="00DB2351">
              <w:rPr>
                <w:rFonts w:asciiTheme="majorHAnsi" w:eastAsiaTheme="majorEastAsia" w:hAnsiTheme="majorHAnsi" w:cs="游ゴシック Light"/>
                <w:b/>
                <w:sz w:val="20"/>
                <w:szCs w:val="20"/>
              </w:rPr>
              <w:t xml:space="preserve">   </w:t>
            </w:r>
            <w:r w:rsidR="00004AC1">
              <w:rPr>
                <w:rFonts w:asciiTheme="majorHAnsi" w:eastAsiaTheme="majorEastAsia" w:hAnsiTheme="majorHAnsi" w:cs="游ゴシック Light"/>
                <w:b/>
                <w:sz w:val="20"/>
                <w:szCs w:val="20"/>
              </w:rPr>
              <w:t xml:space="preserve">  </w:t>
            </w:r>
            <w:r w:rsidR="001161D6">
              <w:rPr>
                <w:rFonts w:asciiTheme="majorHAnsi" w:eastAsiaTheme="majorEastAsia" w:hAnsiTheme="majorHAnsi" w:cs="游ゴシック Light"/>
                <w:b/>
                <w:sz w:val="20"/>
                <w:szCs w:val="20"/>
              </w:rPr>
              <w:t xml:space="preserve"> </w:t>
            </w:r>
            <w:r w:rsidR="00004AC1">
              <w:rPr>
                <w:rFonts w:asciiTheme="majorHAnsi" w:eastAsiaTheme="majorEastAsia" w:hAnsiTheme="majorHAnsi" w:cs="游ゴシック Light"/>
                <w:b/>
                <w:sz w:val="20"/>
                <w:szCs w:val="20"/>
              </w:rPr>
              <w:t xml:space="preserve">   </w:t>
            </w:r>
            <w:r w:rsidR="001F6018">
              <w:rPr>
                <w:rFonts w:asciiTheme="majorHAnsi" w:eastAsiaTheme="majorEastAsia" w:hAnsiTheme="majorHAnsi" w:cs="游ゴシック Light"/>
                <w:b/>
                <w:sz w:val="20"/>
                <w:szCs w:val="20"/>
              </w:rPr>
              <w:t xml:space="preserve">   </w:t>
            </w:r>
            <w:r w:rsidR="00DB2351" w:rsidRPr="007F7472">
              <w:rPr>
                <w:rFonts w:ascii="ＭＳ Ｐ明朝" w:eastAsia="ＭＳ Ｐ明朝" w:hAnsi="ＭＳ Ｐ明朝"/>
                <w:sz w:val="20"/>
                <w:szCs w:val="20"/>
              </w:rPr>
              <w:t>to be written by a healthcare professional</w:t>
            </w:r>
            <w:r w:rsidR="001161D6">
              <w:rPr>
                <w:rFonts w:asciiTheme="majorHAnsi" w:eastAsiaTheme="majorEastAsia" w:hAnsiTheme="majorHAnsi" w:cs="游ゴシック Light"/>
                <w:sz w:val="20"/>
                <w:szCs w:val="20"/>
              </w:rPr>
              <w:t>))</w:t>
            </w:r>
          </w:p>
          <w:p w14:paraId="11AD1AC1" w14:textId="77777777" w:rsidR="00422648" w:rsidRDefault="00DF5189"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In general, apply and rub an appropriate amount of this medicine to the affected area once to several times a day. Strictly follow the instructions.</w:t>
            </w:r>
          </w:p>
          <w:p w14:paraId="38E81CD4" w14:textId="77777777" w:rsidR="00422648" w:rsidRDefault="00DF5189"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apply this medicine to the wounded area, eyes or mucous membrane.</w:t>
            </w:r>
          </w:p>
          <w:p w14:paraId="3BA6CC21" w14:textId="77777777" w:rsidR="00422648" w:rsidRDefault="00422648" w:rsidP="00105DF2">
            <w:pPr>
              <w:ind w:leftChars="150" w:left="315"/>
              <w:jc w:val="left"/>
            </w:pPr>
          </w:p>
          <w:p w14:paraId="08F1E309" w14:textId="77777777" w:rsidR="00422648" w:rsidRDefault="00DF5189"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wrap the applied area with an ill-ventilated material such as a plastic wrap.</w:t>
            </w:r>
          </w:p>
          <w:p w14:paraId="429F89F7" w14:textId="77777777" w:rsidR="00422648" w:rsidRDefault="00422648" w:rsidP="00105DF2">
            <w:pPr>
              <w:ind w:leftChars="150" w:left="315"/>
              <w:jc w:val="left"/>
            </w:pPr>
          </w:p>
          <w:p w14:paraId="7D7C9D52" w14:textId="77777777" w:rsidR="00422648" w:rsidRDefault="00DF5189"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miss a dose, apply the missed dose when you remember. However, if it is almost time for the next dose, skip the missed dose and continue your regular dosing schedule. You should not use two doses at one time.</w:t>
            </w:r>
          </w:p>
          <w:p w14:paraId="30AC55C4" w14:textId="77777777" w:rsidR="00422648" w:rsidRDefault="00DF5189"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accidentally use more than your prescribed dose, consult with your doctor or pharmacist.</w:t>
            </w:r>
          </w:p>
          <w:p w14:paraId="5E630729" w14:textId="77777777" w:rsidR="00DB2351" w:rsidRPr="00244138" w:rsidRDefault="00DF5189" w:rsidP="00A17BE1">
            <w:pPr>
              <w:ind w:leftChars="100" w:left="410" w:hangingChars="100" w:hanging="200"/>
              <w:jc w:val="left"/>
              <w:rPr>
                <w:rFonts w:asciiTheme="majorHAnsi" w:eastAsiaTheme="majorEastAsia" w:hAnsiTheme="majorHAnsi" w:cs="游ゴシック Light"/>
                <w:b/>
                <w:color w:val="FF0000"/>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stop using this medicine unless your doctor instructs you to do so.</w:t>
            </w:r>
          </w:p>
        </w:tc>
      </w:tr>
      <w:tr w:rsidR="00DB2351" w14:paraId="0BF35C66" w14:textId="77777777" w:rsidTr="00600598">
        <w:tc>
          <w:tcPr>
            <w:tcW w:w="9968" w:type="dxa"/>
            <w:gridSpan w:val="2"/>
          </w:tcPr>
          <w:p w14:paraId="33C2E211"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Precautions while taking this medicine</w:t>
            </w:r>
          </w:p>
          <w:p w14:paraId="566762B8" w14:textId="77777777" w:rsidR="00422648" w:rsidRDefault="008244C4"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Pay attention that if this medicine gets on paint (furniture, painted floor, accessary), chemical fiber, silk, or leather products, it may change in quality.</w:t>
            </w:r>
          </w:p>
          <w:p w14:paraId="5742FDB1" w14:textId="77777777" w:rsidR="00422648" w:rsidRDefault="00422648" w:rsidP="00105DF2">
            <w:pPr>
              <w:ind w:leftChars="150" w:left="315"/>
              <w:jc w:val="left"/>
            </w:pPr>
          </w:p>
          <w:p w14:paraId="400B48C4" w14:textId="77777777" w:rsidR="008244C4" w:rsidRPr="00507AE7" w:rsidRDefault="008244C4" w:rsidP="00105DF2">
            <w:pPr>
              <w:ind w:leftChars="150" w:left="315"/>
              <w:jc w:val="left"/>
              <w:rPr>
                <w:rFonts w:ascii="ＭＳ Ｐ明朝" w:eastAsia="ＭＳ Ｐ明朝" w:hAnsi="ＭＳ Ｐ明朝"/>
                <w:sz w:val="20"/>
                <w:szCs w:val="20"/>
              </w:rPr>
            </w:pPr>
          </w:p>
        </w:tc>
      </w:tr>
      <w:tr w:rsidR="00DB2351" w14:paraId="7520E8BE" w14:textId="77777777" w:rsidTr="00600598">
        <w:tc>
          <w:tcPr>
            <w:tcW w:w="9968" w:type="dxa"/>
            <w:gridSpan w:val="2"/>
          </w:tcPr>
          <w:p w14:paraId="122C7CB0"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Possible adverse reactions to this medicine</w:t>
            </w:r>
          </w:p>
          <w:p w14:paraId="4FB8384A" w14:textId="77777777" w:rsidR="00DB2351" w:rsidRPr="00507AE7" w:rsidRDefault="00DB2351" w:rsidP="00600598">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The most commonly reported adverse reactions include itching, dermatitis, redness, contact dermatitis (rash), stimulating feeling and blister. If any of these symptoms occur, consult with your doctor or pharmacist.</w:t>
            </w:r>
          </w:p>
          <w:p w14:paraId="69544C3E" w14:textId="77777777" w:rsidR="00DB2351" w:rsidRPr="00244138" w:rsidRDefault="00DB2351" w:rsidP="00600598">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symptoms described below are rarely seen as initial symptoms of the adverse reactions indicated in brackets. If any of these symptoms occur, stop taking this medicine and see your doctor immediately.</w:t>
            </w:r>
          </w:p>
          <w:p w14:paraId="61FDCCCC" w14:textId="77777777" w:rsidR="00DB2351" w:rsidRPr="00507AE7" w:rsidRDefault="00DB2351" w:rsidP="00600598">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hives, angioedema, breathing difficulty [shock, anaphylaxis]</w:t>
            </w:r>
          </w:p>
          <w:p w14:paraId="60A6ABFD" w14:textId="77777777" w:rsidR="00DB2351" w:rsidRPr="00244138" w:rsidRDefault="00DB2351" w:rsidP="00600598">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above symptoms do not describe all the adverse reactions to this medicine. Consult with your doctor or pharmacist if you notice any symptoms of concern other than those listed above.</w:t>
            </w:r>
          </w:p>
        </w:tc>
      </w:tr>
      <w:tr w:rsidR="00DB2351" w14:paraId="7866296A" w14:textId="77777777" w:rsidTr="00600598">
        <w:tc>
          <w:tcPr>
            <w:tcW w:w="9968" w:type="dxa"/>
            <w:gridSpan w:val="2"/>
          </w:tcPr>
          <w:p w14:paraId="0A8DA714"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Storage conditions and other information</w:t>
            </w:r>
          </w:p>
          <w:p w14:paraId="774F6D06" w14:textId="77777777" w:rsidR="00422648" w:rsidRDefault="008244C4"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Due to its high volatility, make sure to close the cap tightly after use.</w:t>
            </w:r>
          </w:p>
          <w:p w14:paraId="3D167950" w14:textId="77777777" w:rsidR="00422648" w:rsidRDefault="008244C4"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Keep out of the reach of children. Store away from direct sunlight, heat, fire and moisture.</w:t>
            </w:r>
          </w:p>
          <w:p w14:paraId="2238CEE7" w14:textId="77777777" w:rsidR="008244C4" w:rsidRPr="00507AE7" w:rsidRDefault="008244C4" w:rsidP="00A17BE1">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Discard the remainder. Do not store them. If you do not know how to discard of it, please consult the pharmacy or medical institution where you received it. Please do not give it to others.</w:t>
            </w:r>
          </w:p>
        </w:tc>
      </w:tr>
      <w:tr w:rsidR="00DB2351" w14:paraId="3DF15303" w14:textId="77777777" w:rsidTr="00600598">
        <w:tc>
          <w:tcPr>
            <w:tcW w:w="9968" w:type="dxa"/>
            <w:gridSpan w:val="2"/>
          </w:tcPr>
          <w:p w14:paraId="024FBBE0" w14:textId="77777777" w:rsidR="00DB2351" w:rsidRDefault="00DB2351" w:rsidP="00600598">
            <w:pPr>
              <w:jc w:val="left"/>
              <w:rPr>
                <w:rFonts w:asciiTheme="minorEastAsia"/>
                <w:sz w:val="20"/>
                <w:szCs w:val="20"/>
              </w:rPr>
            </w:pPr>
            <w:r w:rsidRPr="00244138">
              <w:rPr>
                <w:rFonts w:asciiTheme="majorHAnsi" w:eastAsiaTheme="majorEastAsia" w:hAnsiTheme="majorHAnsi" w:cs="游ゴシック Light"/>
                <w:b/>
                <w:color w:val="FF0000"/>
                <w:sz w:val="20"/>
                <w:szCs w:val="20"/>
              </w:rPr>
              <w:t>For healthcare professional use only</w:t>
            </w:r>
            <w:r>
              <w:rPr>
                <w:rFonts w:asciiTheme="majorEastAsia" w:eastAsiaTheme="majorEastAsia" w:hAnsiTheme="majorEastAsia"/>
                <w:sz w:val="20"/>
                <w:szCs w:val="20"/>
              </w:rPr>
              <w:t xml:space="preserve">      </w:t>
            </w:r>
            <w:r w:rsidRPr="00507AE7">
              <w:rPr>
                <w:rFonts w:ascii="ＭＳ Ｐ明朝" w:eastAsia="ＭＳ Ｐ明朝" w:hAnsi="ＭＳ Ｐ明朝"/>
                <w:sz w:val="20"/>
                <w:szCs w:val="20"/>
              </w:rPr>
              <w:t>/    /</w:t>
            </w:r>
          </w:p>
          <w:p w14:paraId="47E7374C" w14:textId="77777777" w:rsidR="00DB2351" w:rsidRDefault="00DB2351" w:rsidP="00600598">
            <w:pPr>
              <w:rPr>
                <w:rFonts w:asciiTheme="minorEastAsia"/>
                <w:sz w:val="20"/>
                <w:szCs w:val="20"/>
              </w:rPr>
            </w:pPr>
          </w:p>
          <w:p w14:paraId="0C413DED" w14:textId="77777777" w:rsidR="00DB2351" w:rsidRPr="007D422F" w:rsidRDefault="00DB2351" w:rsidP="00600598">
            <w:pPr>
              <w:rPr>
                <w:rFonts w:asciiTheme="majorEastAsia" w:eastAsiaTheme="majorEastAsia" w:hAnsiTheme="majorEastAsia"/>
                <w:sz w:val="20"/>
                <w:szCs w:val="20"/>
              </w:rPr>
            </w:pPr>
          </w:p>
        </w:tc>
      </w:tr>
    </w:tbl>
    <w:p w14:paraId="6E0A707B" w14:textId="77777777" w:rsidR="007D422F" w:rsidRPr="00DB2351" w:rsidRDefault="00DB2351" w:rsidP="00DB2351">
      <w:pPr>
        <w:jc w:val="left"/>
        <w:rPr>
          <w:rFonts w:ascii="ＭＳ Ｐ明朝" w:eastAsia="ＭＳ Ｐ明朝" w:hAnsi="ＭＳ Ｐ明朝"/>
        </w:rPr>
      </w:pPr>
      <w:r w:rsidRPr="00507AE7">
        <w:rPr>
          <w:rFonts w:ascii="ＭＳ Ｐ明朝" w:eastAsia="ＭＳ Ｐ明朝" w:hAnsi="ＭＳ Ｐ明朝"/>
          <w:sz w:val="20"/>
          <w:szCs w:val="20"/>
        </w:rPr>
        <w:lastRenderedPageBreak/>
        <w:t>For further information, talk to your doctor or pharmacist.</w:t>
      </w:r>
    </w:p>
    <w:sectPr w:rsidR="007D422F" w:rsidRPr="00DB2351" w:rsidSect="00DB2351">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10F78" w14:textId="77777777" w:rsidR="005676BB" w:rsidRDefault="005676BB" w:rsidP="005676BB">
      <w:r>
        <w:separator/>
      </w:r>
    </w:p>
  </w:endnote>
  <w:endnote w:type="continuationSeparator" w:id="0">
    <w:p w14:paraId="18498205" w14:textId="77777777" w:rsidR="005676BB" w:rsidRDefault="005676BB"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alatino Linotype">
    <w:altName w:val="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54228"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1161D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1161D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705EC" w14:textId="77777777" w:rsidR="005676BB" w:rsidRDefault="005676BB" w:rsidP="005676BB">
      <w:r>
        <w:separator/>
      </w:r>
    </w:p>
  </w:footnote>
  <w:footnote w:type="continuationSeparator" w:id="0">
    <w:p w14:paraId="21900AA5" w14:textId="77777777" w:rsidR="005676BB" w:rsidRDefault="005676BB"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04AC1"/>
    <w:rsid w:val="000600ED"/>
    <w:rsid w:val="00105DF2"/>
    <w:rsid w:val="001161D6"/>
    <w:rsid w:val="00133BA4"/>
    <w:rsid w:val="001D7781"/>
    <w:rsid w:val="001F6018"/>
    <w:rsid w:val="002209A5"/>
    <w:rsid w:val="0022776B"/>
    <w:rsid w:val="00244138"/>
    <w:rsid w:val="002A4A81"/>
    <w:rsid w:val="002D19BC"/>
    <w:rsid w:val="00422648"/>
    <w:rsid w:val="00507AE7"/>
    <w:rsid w:val="005676BB"/>
    <w:rsid w:val="00600598"/>
    <w:rsid w:val="006A40B0"/>
    <w:rsid w:val="007D422F"/>
    <w:rsid w:val="007F7472"/>
    <w:rsid w:val="008244C4"/>
    <w:rsid w:val="00A17BE1"/>
    <w:rsid w:val="00BF1AC3"/>
    <w:rsid w:val="00C5095E"/>
    <w:rsid w:val="00C84836"/>
    <w:rsid w:val="00DB2351"/>
    <w:rsid w:val="00DF5189"/>
    <w:rsid w:val="00E0621B"/>
    <w:rsid w:val="00EA6A65"/>
    <w:rsid w:val="00EB7D9B"/>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68E6C81E"/>
  <w14:defaultImageDpi w14:val="0"/>
  <w15:docId w15:val="{7BB34C12-BB4F-46C3-8ED7-381EBF32B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2351"/>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5676BB"/>
    <w:pPr>
      <w:tabs>
        <w:tab w:val="center" w:pos="4252"/>
        <w:tab w:val="right" w:pos="8504"/>
      </w:tabs>
      <w:snapToGrid w:val="0"/>
    </w:pPr>
  </w:style>
  <w:style w:type="character" w:customStyle="1" w:styleId="a5">
    <w:name w:val="ヘッダー (文字)"/>
    <w:basedOn w:val="a0"/>
    <w:link w:val="a4"/>
    <w:uiPriority w:val="99"/>
    <w:semiHidden/>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C84836"/>
    <w:rPr>
      <w:rFonts w:ascii="MS UI Gothic" w:eastAsia="MS UI Gothic"/>
      <w:sz w:val="18"/>
      <w:szCs w:val="18"/>
    </w:rPr>
  </w:style>
  <w:style w:type="character" w:customStyle="1" w:styleId="a9">
    <w:name w:val="見出しマップ (文字)"/>
    <w:basedOn w:val="a0"/>
    <w:link w:val="a8"/>
    <w:uiPriority w:val="99"/>
    <w:semiHidden/>
    <w:locked/>
    <w:rsid w:val="00C84836"/>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892AF-F5C3-42B0-B271-94D4C99F3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589</Words>
  <Characters>3359</Characters>
  <Application>Microsoft Office Word</Application>
  <DocSecurity>4</DocSecurity>
  <Lines>27</Lines>
  <Paragraphs>7</Paragraphs>
  <ScaleCrop>false</ScaleCrop>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comodo</dc:creator>
  <cp:keywords/>
  <dc:description/>
  <cp:lastModifiedBy>鵜澤 典子</cp:lastModifiedBy>
  <cp:revision>2</cp:revision>
  <dcterms:created xsi:type="dcterms:W3CDTF">2023-08-08T23:26:00Z</dcterms:created>
  <dcterms:modified xsi:type="dcterms:W3CDTF">2023-08-08T23:26:00Z</dcterms:modified>
</cp:coreProperties>
</file>