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72"/>
        <w:gridCol w:w="1299"/>
        <w:gridCol w:w="1465"/>
        <w:gridCol w:w="1465"/>
      </w:tblGrid>
      <w:tr w:rsidR="00955513" w:rsidRPr="00FB1012" w14:paraId="2651BBD4" w14:textId="77777777" w:rsidTr="00180061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180061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2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180061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442091D0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F76F5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="00710B6F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29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3086BAA5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C40DC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710B6F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BB31CDD" w:rsidR="0082192B" w:rsidRPr="00FB1012" w:rsidRDefault="00710B6F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C40DC6" w:rsidRPr="00FB1012" w14:paraId="0FB37EC7" w14:textId="77777777" w:rsidTr="00180061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C40DC6" w:rsidRPr="00FB1012" w:rsidRDefault="00C40DC6" w:rsidP="00C40DC6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78B0E9" w14:textId="798B05AC" w:rsidR="00C40DC6" w:rsidRPr="00816E87" w:rsidRDefault="008B0A8E" w:rsidP="00C40DC6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 w:rsidR="0018006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5</w:t>
            </w:r>
            <w:r w:rsidR="00C40DC6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8DD1B9" w14:textId="062E249E" w:rsidR="00C40DC6" w:rsidRPr="00816E87" w:rsidRDefault="008B0A8E" w:rsidP="00C40DC6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 w:rsidR="0018006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C40DC6" w:rsidRPr="0003672F">
              <w:rPr>
                <w:rFonts w:asciiTheme="majorEastAsia" w:eastAsiaTheme="majorEastAsia" w:hAnsiTheme="majorEastAsia"/>
                <w:sz w:val="20"/>
              </w:rPr>
              <w:t>25mg</w:t>
            </w:r>
            <w:r w:rsidR="00C40DC6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C40DC6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C40DC6" w:rsidRPr="00816E87" w:rsidRDefault="00C40DC6" w:rsidP="00C40DC6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C40DC6" w:rsidRPr="00FB1012" w14:paraId="7E22E6B2" w14:textId="77777777" w:rsidTr="00180061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3A058212" w:rsidR="00C40DC6" w:rsidRPr="00BA6A79" w:rsidRDefault="00BC749D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8A46CA">
              <w:rPr>
                <w:rFonts w:asciiTheme="majorEastAsia" w:eastAsiaTheme="majorEastAsia" w:hAnsiTheme="majorEastAsia" w:hint="eastAsia"/>
                <w:sz w:val="20"/>
              </w:rPr>
              <w:t>3.40</w:t>
            </w:r>
            <w:r w:rsidR="00C40DC6" w:rsidRPr="00BA6A79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29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079A61EE" w:rsidR="00C40DC6" w:rsidRPr="00BA6A79" w:rsidRDefault="008A46CA" w:rsidP="00C40DC6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36.40</w:t>
            </w:r>
            <w:r w:rsidR="00C40DC6" w:rsidRPr="00BA6A79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C40DC6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C40DC6" w:rsidRPr="00742451" w:rsidRDefault="00C40DC6" w:rsidP="00C40DC6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C40DC6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4E6AF1DD" w:rsidR="00C40DC6" w:rsidRPr="0018006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18006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2527EF64" w:rsidR="00C40DC6" w:rsidRPr="0074245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18006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379D40CE" w14:textId="77777777" w:rsidR="00C21459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</w:t>
            </w:r>
          </w:p>
          <w:p w14:paraId="21EC4700" w14:textId="442AC390" w:rsidR="00C40DC6" w:rsidRPr="00742451" w:rsidRDefault="00C40DC6" w:rsidP="00C4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8B0A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C40DC6" w:rsidRPr="00FB1012" w14:paraId="58AC630C" w14:textId="77777777" w:rsidTr="00180061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48ABAD25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8A46CA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2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C40DC6" w:rsidRPr="00816E87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C40DC6" w:rsidRPr="007A23B3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C40DC6" w:rsidRPr="00FB1012" w14:paraId="40825A0C" w14:textId="77777777" w:rsidTr="00180061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C40DC6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7D1E3B6E" w:rsidR="00C40DC6" w:rsidRPr="00FB1012" w:rsidRDefault="008A46CA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0AB8C199" w14:textId="1FFACD11" w:rsidR="00F31F4B" w:rsidRDefault="00F31F4B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D7A7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43861AA3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6F2E47B7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1A9EFF44" w:rsidR="00C40DC6" w:rsidRPr="00816E87" w:rsidRDefault="00161F92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C40DC6" w:rsidRPr="00816E87" w:rsidRDefault="00C40DC6" w:rsidP="00B568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C40DC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C40DC6" w:rsidRPr="00DF37E5" w:rsidRDefault="00C40DC6" w:rsidP="00302DB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C40DC6" w:rsidRPr="00DF37E5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C40DC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C40DC6" w:rsidRPr="00816E87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77717025" w:rsidR="00C40DC6" w:rsidRPr="00DF37E5" w:rsidRDefault="00C40DC6" w:rsidP="00302D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C40DC6" w:rsidRPr="00DF37E5" w:rsidRDefault="00C40DC6" w:rsidP="00302D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C40DC6" w:rsidRPr="00DF37E5" w:rsidRDefault="00C40DC6" w:rsidP="00302DBA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C40DC6" w:rsidRPr="00816E87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352A8470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50㎎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58370D1F" w:rsidR="00C40DC6" w:rsidRPr="00816E87" w:rsidRDefault="00202B04" w:rsidP="00C40DC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0766BD1" wp14:editId="6D06E5E6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1270</wp:posOffset>
                  </wp:positionV>
                  <wp:extent cx="287655" cy="2876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vAlign w:val="center"/>
          </w:tcPr>
          <w:p w14:paraId="7E70B372" w14:textId="2E83B058" w:rsidR="00C40DC6" w:rsidRPr="00816E87" w:rsidRDefault="00202B04" w:rsidP="00C40DC6">
            <w:pPr>
              <w:widowControl/>
              <w:adjustRightInd/>
              <w:spacing w:line="240" w:lineRule="auto"/>
              <w:ind w:firstLineChars="50" w:firstLine="120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CFAE789" wp14:editId="1302C14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6985</wp:posOffset>
                  </wp:positionV>
                  <wp:extent cx="287655" cy="2876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65913C70" w:rsidR="00C40DC6" w:rsidRPr="00816E87" w:rsidRDefault="00202B04" w:rsidP="00C40DC6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0296F78" wp14:editId="5AD2A94B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-1905</wp:posOffset>
                  </wp:positionV>
                  <wp:extent cx="287655" cy="147320"/>
                  <wp:effectExtent l="0" t="0" r="0" b="508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76C738B6" w:rsidR="00C40DC6" w:rsidRPr="00816E87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白色の割線入り素</w:t>
            </w: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02EA3833" w:rsidR="00C40DC6" w:rsidRPr="00816E87" w:rsidRDefault="00C40DC6" w:rsidP="00C40DC6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プレガバリンOD三笠50</w:t>
            </w:r>
          </w:p>
        </w:tc>
      </w:tr>
      <w:tr w:rsidR="00C40DC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74CB5930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約7.5</w:t>
            </w:r>
          </w:p>
        </w:tc>
        <w:tc>
          <w:tcPr>
            <w:tcW w:w="1370" w:type="dxa"/>
            <w:vAlign w:val="center"/>
          </w:tcPr>
          <w:p w14:paraId="771AFBB5" w14:textId="4BD189CC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150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263CA01B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約3.8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C40DC6" w:rsidRPr="00816E87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FB1012" w14:paraId="5612DC20" w14:textId="77777777" w:rsidTr="008B0A8E">
        <w:trPr>
          <w:cantSplit/>
          <w:trHeight w:val="40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6BB60AEF" w:rsidR="00C40DC6" w:rsidRPr="00372AC7" w:rsidRDefault="00C40DC6" w:rsidP="002738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25㎎</w:t>
            </w:r>
          </w:p>
        </w:tc>
        <w:tc>
          <w:tcPr>
            <w:tcW w:w="1370" w:type="dxa"/>
            <w:vAlign w:val="center"/>
          </w:tcPr>
          <w:p w14:paraId="0F958C81" w14:textId="455AEA6B" w:rsidR="00C40DC6" w:rsidRPr="00816E87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1038B071" w:rsidR="00C40DC6" w:rsidRPr="00816E87" w:rsidRDefault="00C40DC6" w:rsidP="00C40DC6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31988635" w:rsidR="00C40DC6" w:rsidRPr="00816E87" w:rsidRDefault="00C40DC6" w:rsidP="00C40DC6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2CB1FC37" w14:textId="77777777" w:rsidR="00C95F36" w:rsidRDefault="00780200" w:rsidP="00D070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</w:p>
          <w:p w14:paraId="6F2DAC06" w14:textId="68735C8A" w:rsidR="00780200" w:rsidRPr="00816E87" w:rsidRDefault="00780200" w:rsidP="00D070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DD4173" w14:textId="3AE2EEC3" w:rsidR="00656530" w:rsidRDefault="00B06220" w:rsidP="00C40DC6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V</w:t>
            </w:r>
            <w:r w:rsidR="00780200" w:rsidRPr="00780200">
              <w:rPr>
                <w:rFonts w:asciiTheme="majorEastAsia" w:eastAsiaTheme="majorEastAsia" w:hAnsiTheme="majorEastAsia"/>
                <w:sz w:val="18"/>
              </w:rPr>
              <w:t>TLY</w:t>
            </w:r>
          </w:p>
          <w:p w14:paraId="462D61EF" w14:textId="5324BC82" w:rsidR="00C40DC6" w:rsidRPr="00780200" w:rsidRDefault="00780200" w:rsidP="00C40DC6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80200">
              <w:rPr>
                <w:rFonts w:asciiTheme="majorEastAsia" w:eastAsiaTheme="majorEastAsia" w:hAnsiTheme="majorEastAsia"/>
                <w:sz w:val="18"/>
              </w:rPr>
              <w:t>25</w:t>
            </w:r>
          </w:p>
        </w:tc>
      </w:tr>
      <w:tr w:rsidR="00C40DC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C40DC6" w:rsidRPr="00FB101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C40DC6" w:rsidRPr="00F21C30" w:rsidRDefault="00C40DC6" w:rsidP="00C40DC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44512064" w:rsidR="00C40DC6" w:rsidRDefault="00780200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370" w:type="dxa"/>
            <w:vAlign w:val="center"/>
          </w:tcPr>
          <w:p w14:paraId="1BB3428E" w14:textId="389F8C2F" w:rsidR="00C40DC6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5F4CF443" w:rsidR="00C40DC6" w:rsidRDefault="00780200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</w:rPr>
              <w:t>.0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C40DC6" w:rsidRPr="00460B62" w:rsidRDefault="00C40DC6" w:rsidP="00C40DC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C40DC6" w:rsidRDefault="00C40DC6" w:rsidP="00C40DC6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DC6" w:rsidRPr="00BB0373" w14:paraId="2FE47385" w14:textId="77777777" w:rsidTr="00180061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C40DC6" w:rsidRDefault="00C40DC6" w:rsidP="00C40D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C40DC6" w:rsidRPr="00BC59CC" w:rsidRDefault="00C40DC6" w:rsidP="00C40D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29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41B22F07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《参考》プレガバリンOD錠</w:t>
            </w:r>
            <w:r w:rsidRPr="00A043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6BC2E6CC" w14:textId="506041FA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F1D1659" w14:textId="318ED809" w:rsidR="00474FDB" w:rsidRPr="00D913E0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34666021" wp14:editId="56829BDE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09EF2017" w14:textId="1F368A41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5AEB7F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AD485FB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6249C5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58E8B40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880E155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3512D82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C4B8D78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97F2C1A" w14:textId="77777777" w:rsidR="00474FDB" w:rsidRPr="00D913E0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BA2713B" wp14:editId="51DEDF9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118110</wp:posOffset>
                  </wp:positionV>
                  <wp:extent cx="2057400" cy="12642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1ECBD6DC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CFE81AE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AC195D4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F9DA08A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D247C4A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BC0F886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50B1E1F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68F6566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631E799" w14:textId="77777777" w:rsidR="00474FDB" w:rsidRDefault="00474FDB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38EC7FF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357B8D" wp14:editId="14D1B12F">
                      <wp:simplePos x="0" y="0"/>
                      <wp:positionH relativeFrom="column">
                        <wp:posOffset>3487</wp:posOffset>
                      </wp:positionH>
                      <wp:positionV relativeFrom="paragraph">
                        <wp:posOffset>140826</wp:posOffset>
                      </wp:positionV>
                      <wp:extent cx="2583815" cy="534838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E1D01" w14:textId="78B6A52F" w:rsidR="00474FDB" w:rsidRPr="000B0946" w:rsidRDefault="00474FDB" w:rsidP="00474FDB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「後発医薬品の生物学的同等性試験ガイドライン」に従</w:t>
                                  </w:r>
                                  <w:r w:rsidR="000A095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7E7BB615" w14:textId="77777777" w:rsidR="00474FDB" w:rsidRPr="000B0946" w:rsidRDefault="00474FDB" w:rsidP="00474F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57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25pt;margin-top:11.1pt;width:203.45pt;height:4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DnjgSm3gAAAAcBAAAPAAAAAAAAAAAAAAAAAHYEAABkcnMvZG93bnJldi54bWxQ&#10;SwUGAAAAAAQABADzAAAAgQUAAAAA&#10;" filled="f" stroked="f" strokeweight=".5pt">
                      <v:textbox>
                        <w:txbxContent>
                          <w:p w14:paraId="7E0E1D01" w14:textId="78B6A52F" w:rsidR="00474FDB" w:rsidRPr="000B0946" w:rsidRDefault="00474FDB" w:rsidP="00474FDB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「後発医薬品の生物学的同等性試験ガイドライン」に従</w:t>
                            </w:r>
                            <w:r w:rsidR="000A09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7E7BB615" w14:textId="77777777" w:rsidR="00474FDB" w:rsidRPr="000B0946" w:rsidRDefault="00474FDB" w:rsidP="00474F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B85BC" w14:textId="77777777" w:rsidR="00474FDB" w:rsidRDefault="00474FDB" w:rsidP="00474FDB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77777777" w:rsidR="00C40DC6" w:rsidRPr="00474FDB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1695F7A2" w:rsidR="00C40DC6" w:rsidRPr="00790B94" w:rsidRDefault="00C40DC6" w:rsidP="00474FDB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29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D6C3C1A" w14:textId="323D7B3C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D756EE2" w14:textId="7F27D6A7" w:rsidR="0050028B" w:rsidRDefault="0050028B" w:rsidP="0050028B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標準製剤：プレガバリンOD錠</w:t>
            </w:r>
            <w:r w:rsidRPr="001156F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4BB4BE16" w14:textId="4664875C" w:rsidR="00C40DC6" w:rsidRDefault="00A7429E" w:rsidP="0050028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52EED99" wp14:editId="2BDE4E81">
                  <wp:simplePos x="0" y="0"/>
                  <wp:positionH relativeFrom="column">
                    <wp:posOffset>12538</wp:posOffset>
                  </wp:positionH>
                  <wp:positionV relativeFrom="paragraph">
                    <wp:posOffset>131445</wp:posOffset>
                  </wp:positionV>
                  <wp:extent cx="2530475" cy="1606178"/>
                  <wp:effectExtent l="0" t="0" r="317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60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028B" w:rsidRPr="00E13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水/50rpm</w:t>
            </w:r>
          </w:p>
          <w:p w14:paraId="6FED356B" w14:textId="129056F4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A274B7E" w14:textId="65DB0D45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727C0848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4C394585" w:rsidR="00C40DC6" w:rsidRDefault="00C40DC6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7B32D79" w14:textId="2914FAC0" w:rsidR="00C40DC6" w:rsidRPr="00020786" w:rsidRDefault="0050028B" w:rsidP="00C40DC6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DC0FC7" wp14:editId="0EE0A6D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929950</wp:posOffset>
                      </wp:positionV>
                      <wp:extent cx="2530549" cy="659219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0549" cy="6592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34D0E3" w14:textId="3A2C0837" w:rsidR="0050028B" w:rsidRDefault="0050028B" w:rsidP="0050028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 w:rsidR="009947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3BC4B8D8" w14:textId="77777777" w:rsidR="0050028B" w:rsidRPr="000B0946" w:rsidRDefault="0050028B" w:rsidP="0050028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0FC7" id="テキスト ボックス 5" o:spid="_x0000_s1027" type="#_x0000_t202" style="position:absolute;left:0;text-align:left;margin-left:-1.45pt;margin-top:73.2pt;width:199.25pt;height:5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" filled="f" stroked="f" strokeweight=".5pt">
                      <v:textbox>
                        <w:txbxContent>
                          <w:p w14:paraId="7034D0E3" w14:textId="3A2C0837" w:rsidR="0050028B" w:rsidRDefault="0050028B" w:rsidP="005002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 w:rsidR="009947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BC4B8D8" w14:textId="77777777" w:rsidR="0050028B" w:rsidRPr="000B0946" w:rsidRDefault="0050028B" w:rsidP="0050028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0DC6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C40DC6" w:rsidRPr="00FB1012" w:rsidRDefault="00C40DC6" w:rsidP="00C40DC6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C40DC6" w:rsidRPr="00FB1012" w:rsidRDefault="00C40DC6" w:rsidP="00C40DC6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5E852AE" w14:textId="77777777" w:rsidR="00AC72F9" w:rsidRDefault="00AC72F9" w:rsidP="00AC72F9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※本製品は、標準製剤と規格が異なりますのでご注意ください。</w:t>
      </w:r>
    </w:p>
    <w:p w14:paraId="4B1444E0" w14:textId="5878C8C6" w:rsidR="00955513" w:rsidRPr="00AC72F9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AC72F9" w:rsidSect="00DB0E9D">
      <w:headerReference w:type="default" r:id="rId14"/>
      <w:footerReference w:type="even" r:id="rId15"/>
      <w:type w:val="continuous"/>
      <w:pgSz w:w="11907" w:h="16840" w:code="9"/>
      <w:pgMar w:top="296" w:right="851" w:bottom="289" w:left="1134" w:header="284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BCD3" w14:textId="77777777" w:rsidR="00DB0E9D" w:rsidRDefault="00DB0E9D">
      <w:r>
        <w:separator/>
      </w:r>
    </w:p>
  </w:endnote>
  <w:endnote w:type="continuationSeparator" w:id="0">
    <w:p w14:paraId="3C580FE9" w14:textId="77777777" w:rsidR="00DB0E9D" w:rsidRDefault="00D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14D2" w14:textId="77777777" w:rsidR="00DB0E9D" w:rsidRDefault="00DB0E9D">
      <w:r>
        <w:rPr>
          <w:rFonts w:hint="eastAsia"/>
        </w:rPr>
        <w:separator/>
      </w:r>
    </w:p>
  </w:footnote>
  <w:footnote w:type="continuationSeparator" w:id="0">
    <w:p w14:paraId="5EC7E680" w14:textId="77777777" w:rsidR="00DB0E9D" w:rsidRDefault="00DB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98C" w14:textId="0BDAE6BF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710B6F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A731C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996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095F"/>
    <w:rsid w:val="000A1DD5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7FAF"/>
    <w:rsid w:val="00141C1E"/>
    <w:rsid w:val="001558DA"/>
    <w:rsid w:val="00156CDB"/>
    <w:rsid w:val="00161F92"/>
    <w:rsid w:val="0017481E"/>
    <w:rsid w:val="00176C52"/>
    <w:rsid w:val="00180061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200A0E"/>
    <w:rsid w:val="0020166D"/>
    <w:rsid w:val="00202B04"/>
    <w:rsid w:val="00207411"/>
    <w:rsid w:val="00207B78"/>
    <w:rsid w:val="00221B7F"/>
    <w:rsid w:val="00222966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38A9"/>
    <w:rsid w:val="00277255"/>
    <w:rsid w:val="00292B4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2DBA"/>
    <w:rsid w:val="003044F2"/>
    <w:rsid w:val="00306B9C"/>
    <w:rsid w:val="00307DF7"/>
    <w:rsid w:val="0031398E"/>
    <w:rsid w:val="003209DF"/>
    <w:rsid w:val="00322394"/>
    <w:rsid w:val="0032373B"/>
    <w:rsid w:val="00326660"/>
    <w:rsid w:val="003427BE"/>
    <w:rsid w:val="00351399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3A89"/>
    <w:rsid w:val="003B4B3B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74FDB"/>
    <w:rsid w:val="00490283"/>
    <w:rsid w:val="00490331"/>
    <w:rsid w:val="004A1B56"/>
    <w:rsid w:val="004C1CA4"/>
    <w:rsid w:val="004C361A"/>
    <w:rsid w:val="004D024C"/>
    <w:rsid w:val="004D5BAC"/>
    <w:rsid w:val="004D5BE5"/>
    <w:rsid w:val="004F4375"/>
    <w:rsid w:val="004F6273"/>
    <w:rsid w:val="004F7F3E"/>
    <w:rsid w:val="0050028B"/>
    <w:rsid w:val="00500412"/>
    <w:rsid w:val="0050700F"/>
    <w:rsid w:val="00512C36"/>
    <w:rsid w:val="00513C37"/>
    <w:rsid w:val="00513E2C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5CE8"/>
    <w:rsid w:val="005F6A42"/>
    <w:rsid w:val="00607D57"/>
    <w:rsid w:val="00613E4B"/>
    <w:rsid w:val="006272B7"/>
    <w:rsid w:val="00633B18"/>
    <w:rsid w:val="0063798B"/>
    <w:rsid w:val="00646BEE"/>
    <w:rsid w:val="006521C0"/>
    <w:rsid w:val="00654AFE"/>
    <w:rsid w:val="00656530"/>
    <w:rsid w:val="00662DB3"/>
    <w:rsid w:val="00663ACD"/>
    <w:rsid w:val="00663BAA"/>
    <w:rsid w:val="00663E06"/>
    <w:rsid w:val="00666780"/>
    <w:rsid w:val="00666D99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A73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0B6F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375AD"/>
    <w:rsid w:val="00742451"/>
    <w:rsid w:val="007475DD"/>
    <w:rsid w:val="007549D0"/>
    <w:rsid w:val="00755D11"/>
    <w:rsid w:val="00757D97"/>
    <w:rsid w:val="00765EB1"/>
    <w:rsid w:val="00771BA3"/>
    <w:rsid w:val="00780200"/>
    <w:rsid w:val="007811AE"/>
    <w:rsid w:val="00781994"/>
    <w:rsid w:val="007839E1"/>
    <w:rsid w:val="00785C40"/>
    <w:rsid w:val="00790B94"/>
    <w:rsid w:val="007967C1"/>
    <w:rsid w:val="007A23B3"/>
    <w:rsid w:val="007A4040"/>
    <w:rsid w:val="007A5D01"/>
    <w:rsid w:val="007B27CF"/>
    <w:rsid w:val="007B7986"/>
    <w:rsid w:val="007C4812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46CA"/>
    <w:rsid w:val="008A7BCB"/>
    <w:rsid w:val="008B0A0B"/>
    <w:rsid w:val="008B0A8E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9479D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227D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731C4"/>
    <w:rsid w:val="00A7429E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2F9"/>
    <w:rsid w:val="00AC7A23"/>
    <w:rsid w:val="00AD52BE"/>
    <w:rsid w:val="00AD57E1"/>
    <w:rsid w:val="00AE0D3E"/>
    <w:rsid w:val="00AE2D88"/>
    <w:rsid w:val="00AE3532"/>
    <w:rsid w:val="00AE686E"/>
    <w:rsid w:val="00AF158C"/>
    <w:rsid w:val="00AF627F"/>
    <w:rsid w:val="00B06220"/>
    <w:rsid w:val="00B07D9C"/>
    <w:rsid w:val="00B07E93"/>
    <w:rsid w:val="00B10F55"/>
    <w:rsid w:val="00B129DE"/>
    <w:rsid w:val="00B14A51"/>
    <w:rsid w:val="00B21FB2"/>
    <w:rsid w:val="00B241B5"/>
    <w:rsid w:val="00B303A6"/>
    <w:rsid w:val="00B312BE"/>
    <w:rsid w:val="00B330CF"/>
    <w:rsid w:val="00B35812"/>
    <w:rsid w:val="00B37F2B"/>
    <w:rsid w:val="00B568BB"/>
    <w:rsid w:val="00B613BE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A6A79"/>
    <w:rsid w:val="00BB0373"/>
    <w:rsid w:val="00BB36B4"/>
    <w:rsid w:val="00BB4407"/>
    <w:rsid w:val="00BC266A"/>
    <w:rsid w:val="00BC3856"/>
    <w:rsid w:val="00BC59CC"/>
    <w:rsid w:val="00BC749D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1459"/>
    <w:rsid w:val="00C23051"/>
    <w:rsid w:val="00C24EBB"/>
    <w:rsid w:val="00C33656"/>
    <w:rsid w:val="00C34B2B"/>
    <w:rsid w:val="00C3657C"/>
    <w:rsid w:val="00C40DC6"/>
    <w:rsid w:val="00C53547"/>
    <w:rsid w:val="00C54AE6"/>
    <w:rsid w:val="00C55FEE"/>
    <w:rsid w:val="00C64160"/>
    <w:rsid w:val="00C641F6"/>
    <w:rsid w:val="00C72B07"/>
    <w:rsid w:val="00C753D5"/>
    <w:rsid w:val="00C76BAC"/>
    <w:rsid w:val="00C80000"/>
    <w:rsid w:val="00C83E19"/>
    <w:rsid w:val="00C92BA3"/>
    <w:rsid w:val="00C9413F"/>
    <w:rsid w:val="00C9582B"/>
    <w:rsid w:val="00C95F36"/>
    <w:rsid w:val="00CA5C79"/>
    <w:rsid w:val="00CB155C"/>
    <w:rsid w:val="00CB3ACD"/>
    <w:rsid w:val="00CB7B9E"/>
    <w:rsid w:val="00CC58A0"/>
    <w:rsid w:val="00CE297A"/>
    <w:rsid w:val="00CE44E4"/>
    <w:rsid w:val="00CE4672"/>
    <w:rsid w:val="00CE5D49"/>
    <w:rsid w:val="00CE77E4"/>
    <w:rsid w:val="00CF685B"/>
    <w:rsid w:val="00D07002"/>
    <w:rsid w:val="00D07065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B0E9D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F7E6D"/>
    <w:rsid w:val="00F00914"/>
    <w:rsid w:val="00F00C62"/>
    <w:rsid w:val="00F12F7E"/>
    <w:rsid w:val="00F13B8B"/>
    <w:rsid w:val="00F21C30"/>
    <w:rsid w:val="00F24297"/>
    <w:rsid w:val="00F31F4B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76F52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49B"/>
    <w:rsid w:val="00FD3D9D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10B6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23D8-AFA2-48F5-8F94-57082BDF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884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45</cp:revision>
  <cp:lastPrinted>2024-03-14T03:14:00Z</cp:lastPrinted>
  <dcterms:created xsi:type="dcterms:W3CDTF">2020-08-20T00:13:00Z</dcterms:created>
  <dcterms:modified xsi:type="dcterms:W3CDTF">2024-03-25T06:36:00Z</dcterms:modified>
</cp:coreProperties>
</file>