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A42" w14:textId="0553FAEE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275"/>
        <w:gridCol w:w="1134"/>
        <w:gridCol w:w="2835"/>
        <w:gridCol w:w="1513"/>
      </w:tblGrid>
      <w:tr w:rsidR="00955513" w:rsidRPr="00FB1012" w14:paraId="2651BBD4" w14:textId="77777777" w:rsidTr="00071908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265C4829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3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5A446913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047C15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07190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00791082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3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07190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110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25D3A404" w:rsidR="000D7C60" w:rsidRPr="00816E87" w:rsidRDefault="00C32E4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7F7B25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348" w:type="dxa"/>
            <w:gridSpan w:val="2"/>
            <w:tcBorders>
              <w:right w:val="single" w:sz="18" w:space="0" w:color="auto"/>
            </w:tcBorders>
            <w:vAlign w:val="center"/>
          </w:tcPr>
          <w:p w14:paraId="5E509752" w14:textId="4348056B" w:rsidR="000D7C60" w:rsidRPr="00816E87" w:rsidRDefault="00C32E4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サインバルタカプセル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7F7B25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3D04BD27" w:rsidR="0082192B" w:rsidRPr="00FB1012" w:rsidRDefault="007F7B2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44EB158F" w:rsidR="0082192B" w:rsidRPr="00816E87" w:rsidRDefault="00C32E4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デュロキセチン塩酸塩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79D94E7E" w:rsidR="006A6D57" w:rsidRPr="00816E87" w:rsidRDefault="00C80526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32E43">
              <w:rPr>
                <w:rFonts w:ascii="ＭＳ ゴシック" w:eastAsia="ＭＳ ゴシック" w:hAnsi="ＭＳ ゴシック" w:hint="eastAsia"/>
                <w:sz w:val="20"/>
              </w:rPr>
              <w:t>デュロキセチン塩酸塩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33</w:t>
            </w:r>
            <w:r w:rsidR="00C32E43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636F22">
              <w:rPr>
                <w:rFonts w:asciiTheme="majorEastAsia" w:eastAsiaTheme="majorEastAsia" w:hAnsiTheme="majorEastAsia" w:hint="eastAsia"/>
                <w:sz w:val="20"/>
              </w:rPr>
              <w:t>（デュロキセチンとして30</w:t>
            </w:r>
            <w:r w:rsidR="007F7B25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 w:rsidR="00636F22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6B3B802C" w:rsidR="006A6D57" w:rsidRPr="00816E87" w:rsidRDefault="00C32E43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セロトニン・ノルアドレナリン再取り込み阻害剤</w:t>
            </w:r>
          </w:p>
        </w:tc>
      </w:tr>
      <w:tr w:rsidR="000F46C7" w:rsidRPr="00FB1012" w14:paraId="7E22E6B2" w14:textId="77777777" w:rsidTr="0007190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110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3AFF54C0" w:rsidR="000F46C7" w:rsidRPr="00621E6B" w:rsidRDefault="00FF4A4D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38.50</w:t>
            </w:r>
            <w:r w:rsidR="00A0134E" w:rsidRPr="00621E6B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 w:rsidRPr="00621E6B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  <w:tc>
          <w:tcPr>
            <w:tcW w:w="4348" w:type="dxa"/>
            <w:gridSpan w:val="2"/>
            <w:tcBorders>
              <w:right w:val="single" w:sz="18" w:space="0" w:color="auto"/>
            </w:tcBorders>
            <w:vAlign w:val="center"/>
          </w:tcPr>
          <w:p w14:paraId="763F86CA" w14:textId="7D474747" w:rsidR="000F46C7" w:rsidRPr="00621E6B" w:rsidRDefault="005F0D83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21E6B">
              <w:rPr>
                <w:rFonts w:asciiTheme="majorEastAsia" w:eastAsiaTheme="majorEastAsia" w:hAnsiTheme="majorEastAsia"/>
                <w:sz w:val="20"/>
              </w:rPr>
              <w:t>1</w:t>
            </w:r>
            <w:r w:rsidR="001E1AF3">
              <w:rPr>
                <w:rFonts w:asciiTheme="majorEastAsia" w:eastAsiaTheme="majorEastAsia" w:hAnsiTheme="majorEastAsia" w:hint="eastAsia"/>
                <w:sz w:val="20"/>
              </w:rPr>
              <w:t>09.30</w:t>
            </w:r>
            <w:r w:rsidR="000F46C7" w:rsidRPr="00621E6B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 w:rsidRPr="00621E6B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</w:tr>
      <w:tr w:rsidR="00FF7B59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FF7B59" w:rsidRPr="00FB1012" w:rsidRDefault="00FF7B59" w:rsidP="00FF7B5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8C2CA" w14:textId="77777777" w:rsidR="00FF7B59" w:rsidRPr="004E3D9E" w:rsidRDefault="00FF7B59" w:rsidP="00FF7B59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うつ病・うつ状態</w:t>
            </w:r>
          </w:p>
          <w:p w14:paraId="31F5A164" w14:textId="77777777" w:rsidR="00FF7B59" w:rsidRPr="004E3D9E" w:rsidRDefault="00FF7B59" w:rsidP="00FF7B59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下記疾患に伴う疼痛</w:t>
            </w:r>
          </w:p>
          <w:p w14:paraId="1ECE946B" w14:textId="012DEE0D" w:rsidR="00FF7B59" w:rsidRPr="00871B58" w:rsidRDefault="00FF7B59" w:rsidP="00871B58">
            <w:pPr>
              <w:tabs>
                <w:tab w:val="right" w:pos="8280"/>
              </w:tabs>
              <w:spacing w:line="240" w:lineRule="auto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糖尿病性神経障害、線維筋痛症、</w:t>
            </w:r>
            <w:r w:rsidRPr="00871B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慢性腰痛症、変形性関節症</w:t>
            </w:r>
          </w:p>
        </w:tc>
      </w:tr>
      <w:tr w:rsidR="00FF7B59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FF7B59" w:rsidRPr="00FB1012" w:rsidRDefault="00FF7B59" w:rsidP="00FF7B5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80875" w14:textId="77777777" w:rsidR="00FF7B59" w:rsidRPr="004E3D9E" w:rsidRDefault="00FF7B59" w:rsidP="00FF7B59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うつ病・うつ状態、糖尿病性神経障害に伴う疼痛：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通常、成人には1日1回朝食後、デュロキセチンとして40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を経口投与する。投与は1日20mgより開始し、1週間以上の間隔を空けて1日用量として2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ずつ増量する。</w:t>
            </w:r>
          </w:p>
          <w:p w14:paraId="6B892793" w14:textId="77777777" w:rsidR="00FF7B59" w:rsidRPr="004E3D9E" w:rsidRDefault="00FF7B59" w:rsidP="00FF7B59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なお、効果不十分な場合には、1日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60mg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まで増量することができる。</w:t>
            </w:r>
          </w:p>
          <w:p w14:paraId="21EC4700" w14:textId="52D01D8D" w:rsidR="00FF7B59" w:rsidRPr="00871B58" w:rsidRDefault="00F73F20" w:rsidP="00871B5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線維筋痛症に伴う疼痛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FF7B59" w:rsidRPr="00871B5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慢性腰痛症に伴う疼痛、変形性関節症に伴う疼痛</w:t>
            </w:r>
            <w:r w:rsidR="00FF7B59" w:rsidRPr="00F73F2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="00FF7B59" w:rsidRPr="00F73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通常、成人には1日1回朝食後、デュロキセチンとして60mgを経口投与する。投与は1日20mgより開始し、1週間以上の間隔を空けて1日用量として2</w:t>
            </w:r>
            <w:r w:rsidR="00FF7B59" w:rsidRPr="00F73F20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="00FF7B59" w:rsidRPr="00F73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ずつ増量する。</w:t>
            </w:r>
          </w:p>
        </w:tc>
      </w:tr>
      <w:tr w:rsidR="006A6D57" w:rsidRPr="00FB1012" w14:paraId="58AC630C" w14:textId="77777777" w:rsidTr="00071908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32866F25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7420B6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11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8005BA" w14:textId="77777777" w:rsidR="00CC344E" w:rsidRPr="006301A7" w:rsidRDefault="00CC344E" w:rsidP="00CC344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精製白糖球状顆粒、精製白糖、ヒプロメロース、タルク、ヒプロメロース酢酸エステルコハク酸エステル、クエン酸トリエチル、酸化チタン</w:t>
            </w:r>
          </w:p>
          <w:p w14:paraId="06F97A95" w14:textId="2A68A6E2" w:rsidR="006A6D57" w:rsidRPr="00816E87" w:rsidRDefault="00CC344E" w:rsidP="00CC344E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  <w:tc>
          <w:tcPr>
            <w:tcW w:w="434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B9931" w14:textId="19190F38" w:rsidR="007C49AB" w:rsidRPr="00CC344E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白糖・デンプン球状顆粒、精製白糖、ヒプロメロース、タルク、ヒプロメロース酢酸エステルコハク酸エステル、クエン酸トリエチル、酸化チタン</w:t>
            </w:r>
          </w:p>
          <w:p w14:paraId="2BE05868" w14:textId="71699528" w:rsidR="006A6D57" w:rsidRPr="00CC344E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</w:tr>
      <w:tr w:rsidR="006A6D57" w:rsidRPr="00FB1012" w14:paraId="40825A0C" w14:textId="77777777" w:rsidTr="00442842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6B3CF2E1" w:rsidR="00BC59CC" w:rsidRPr="00FB1012" w:rsidRDefault="008F249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50DFF78B" w:rsidR="006A6D57" w:rsidRPr="00816E87" w:rsidRDefault="00F52B2D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07D81759" w:rsidR="00BC59CC" w:rsidRPr="00816E87" w:rsidRDefault="00CC344E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1BA5BA4F" w:rsidR="006A6D57" w:rsidRPr="00816E87" w:rsidRDefault="00AF158C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500C50F" w:rsidR="006A6D57" w:rsidRPr="00816E87" w:rsidRDefault="00F52B2D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2F406038" w:rsidR="00BC59CC" w:rsidRPr="00816E87" w:rsidRDefault="00FB6295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6A6D57" w:rsidRPr="00816E87" w:rsidRDefault="006A6D57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245901" w:rsidRPr="00FB1012" w14:paraId="6D9C0712" w14:textId="77777777" w:rsidTr="00747B7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245901" w:rsidRPr="00DF37E5" w:rsidRDefault="00245901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409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36439454" w:rsidR="00245901" w:rsidRPr="00DF37E5" w:rsidRDefault="00245901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外観</w:t>
            </w:r>
          </w:p>
        </w:tc>
        <w:tc>
          <w:tcPr>
            <w:tcW w:w="283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6AFE19C6" w:rsidR="00245901" w:rsidRPr="00DF37E5" w:rsidRDefault="00747B71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性状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・剤形</w:t>
            </w:r>
          </w:p>
        </w:tc>
        <w:tc>
          <w:tcPr>
            <w:tcW w:w="1513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245901" w:rsidRPr="00DF37E5" w:rsidRDefault="00245901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245901" w:rsidRPr="00FB1012" w14:paraId="3E93CDAD" w14:textId="77777777" w:rsidTr="00747B7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245901" w:rsidRPr="00FB1012" w:rsidRDefault="00245901" w:rsidP="0024590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245901" w:rsidRPr="00816E87" w:rsidRDefault="00245901" w:rsidP="0024590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5EF1811" w14:textId="1E265A4D" w:rsidR="00245901" w:rsidRPr="00DF37E5" w:rsidRDefault="00245901" w:rsidP="0024590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大きさ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C54AEB" w14:textId="4063052E" w:rsidR="00245901" w:rsidRPr="00DF37E5" w:rsidRDefault="00245901" w:rsidP="00245901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質量（g）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1D7ECC5" w14:textId="77777777" w:rsidR="00245901" w:rsidRPr="00816E87" w:rsidRDefault="00245901" w:rsidP="00245901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245901" w:rsidRPr="00816E87" w:rsidRDefault="00245901" w:rsidP="0024590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5901" w:rsidRPr="00FB1012" w14:paraId="2B6AEF1D" w14:textId="77777777" w:rsidTr="00747B71">
        <w:trPr>
          <w:cantSplit/>
          <w:trHeight w:val="62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6A62BE1F" w:rsidR="00245901" w:rsidRPr="00372AC7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デュロキセチンカプセル30</w:t>
            </w:r>
            <w:r w:rsidR="007420B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275" w:type="dxa"/>
            <w:vAlign w:val="center"/>
          </w:tcPr>
          <w:p w14:paraId="699B1B3C" w14:textId="0D6F42CE" w:rsidR="00245901" w:rsidRPr="00816E87" w:rsidRDefault="00CC344E" w:rsidP="006C29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B787F9" wp14:editId="0FE9648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2540</wp:posOffset>
                  </wp:positionV>
                  <wp:extent cx="632460" cy="356870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4A116C6" w14:textId="0749E33C" w:rsidR="00245901" w:rsidRPr="00816E87" w:rsidRDefault="00CC344E" w:rsidP="0024590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9F2DD1" wp14:editId="7D408DE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-8890</wp:posOffset>
                  </wp:positionV>
                  <wp:extent cx="649605" cy="368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4DF53078" w14:textId="0F51FE17" w:rsidR="00CC344E" w:rsidRPr="00747B71" w:rsidRDefault="00CC344E" w:rsidP="00F54F52">
            <w:pPr>
              <w:spacing w:line="240" w:lineRule="auto"/>
              <w:ind w:rightChars="19" w:right="4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7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キャップが淡黄白色、ボディが微黄白色の不透明な硬カプセル剤</w:t>
            </w:r>
          </w:p>
          <w:p w14:paraId="00E54755" w14:textId="39F4BC62" w:rsidR="00245901" w:rsidRPr="00816E87" w:rsidRDefault="00CC344E" w:rsidP="00CC344E">
            <w:pPr>
              <w:spacing w:line="240" w:lineRule="auto"/>
              <w:ind w:rightChars="-42" w:right="-10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内容物は白色～帯黄白色の腸溶コーティング顆粒</w:t>
            </w:r>
          </w:p>
        </w:tc>
        <w:tc>
          <w:tcPr>
            <w:tcW w:w="1513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167AF2A3" w:rsidR="00245901" w:rsidRPr="00816E87" w:rsidRDefault="00CC344E" w:rsidP="00747B71">
            <w:pPr>
              <w:snapToGrid w:val="0"/>
              <w:spacing w:line="240" w:lineRule="auto"/>
              <w:ind w:left="2" w:rightChars="-1" w:right="-2" w:hangingChars="1" w:hanging="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デュロキセチ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ン3</w:t>
            </w: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0mg　三笠</w:t>
            </w:r>
          </w:p>
        </w:tc>
      </w:tr>
      <w:tr w:rsidR="00245901" w:rsidRPr="00FB1012" w14:paraId="49FE7E52" w14:textId="77777777" w:rsidTr="00747B7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245901" w:rsidRPr="00372AC7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A60BAE" w14:textId="1CE0D93F" w:rsidR="00245901" w:rsidRPr="00CC344E" w:rsidRDefault="00CC344E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3号カプセル</w:t>
            </w:r>
          </w:p>
        </w:tc>
        <w:tc>
          <w:tcPr>
            <w:tcW w:w="1134" w:type="dxa"/>
            <w:vAlign w:val="center"/>
          </w:tcPr>
          <w:p w14:paraId="6137455D" w14:textId="29F8B281" w:rsidR="00245901" w:rsidRPr="00CC344E" w:rsidRDefault="00CC344E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約0.24</w:t>
            </w:r>
          </w:p>
        </w:tc>
        <w:tc>
          <w:tcPr>
            <w:tcW w:w="2835" w:type="dxa"/>
            <w:vMerge/>
            <w:vAlign w:val="center"/>
          </w:tcPr>
          <w:p w14:paraId="206CEF4E" w14:textId="77777777" w:rsidR="00245901" w:rsidRPr="00816E87" w:rsidRDefault="00245901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245901" w:rsidRPr="00816E87" w:rsidRDefault="00245901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5901" w:rsidRPr="00FB1012" w14:paraId="5612DC20" w14:textId="77777777" w:rsidTr="00747B71">
        <w:trPr>
          <w:cantSplit/>
          <w:trHeight w:val="56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83B51F" w14:textId="77777777" w:rsidR="00245901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</w:t>
            </w:r>
          </w:p>
          <w:p w14:paraId="19AFFD4F" w14:textId="6924A9BD" w:rsidR="00245901" w:rsidRPr="00372AC7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カプセル30</w:t>
            </w:r>
            <w:r w:rsidR="007420B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275" w:type="dxa"/>
            <w:vAlign w:val="center"/>
          </w:tcPr>
          <w:p w14:paraId="0F958C81" w14:textId="20B6A91D" w:rsidR="00245901" w:rsidRPr="00816E87" w:rsidRDefault="00245901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BF0340" w14:textId="2F7B0B5E" w:rsidR="00245901" w:rsidRPr="00816E87" w:rsidRDefault="00245901" w:rsidP="0024590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42B9F493" w14:textId="77777777" w:rsidR="00CA7A08" w:rsidRDefault="009C16E4" w:rsidP="00F54F52">
            <w:pPr>
              <w:spacing w:line="240" w:lineRule="auto"/>
              <w:ind w:rightChars="19" w:right="46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9C16E4">
              <w:rPr>
                <w:rFonts w:asciiTheme="majorEastAsia" w:eastAsiaTheme="majorEastAsia" w:hAnsiTheme="majorEastAsia"/>
                <w:sz w:val="16"/>
              </w:rPr>
              <w:t>キャップが淡黄白色、ボディが微黄白色の不透明な硬カプセル剤</w:t>
            </w:r>
          </w:p>
          <w:p w14:paraId="6F2DAC06" w14:textId="376E40BC" w:rsidR="00245901" w:rsidRPr="009C16E4" w:rsidRDefault="009C16E4" w:rsidP="009C16E4">
            <w:pPr>
              <w:spacing w:line="24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16E4">
              <w:rPr>
                <w:rFonts w:asciiTheme="majorEastAsia" w:eastAsiaTheme="majorEastAsia" w:hAnsiTheme="majorEastAsia"/>
                <w:sz w:val="16"/>
              </w:rPr>
              <w:t>内容物は白色～微灰白色の顆粒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0279608F" w:rsidR="00245901" w:rsidRPr="00D27BEB" w:rsidRDefault="00245901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5901" w:rsidRPr="00FB1012" w14:paraId="56B257A4" w14:textId="77777777" w:rsidTr="00747B7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245901" w:rsidRPr="00F21C30" w:rsidRDefault="00245901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12" w:space="0" w:color="auto"/>
            </w:tcBorders>
            <w:vAlign w:val="center"/>
          </w:tcPr>
          <w:p w14:paraId="5550E6CE" w14:textId="5B7CD63F" w:rsidR="00245901" w:rsidRDefault="009C16E4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16E4">
              <w:rPr>
                <w:rFonts w:ascii="ＭＳ ゴシック" w:eastAsia="ＭＳ ゴシック" w:hAnsi="ＭＳ ゴシック" w:hint="eastAsia"/>
                <w:sz w:val="18"/>
              </w:rPr>
              <w:t>3号カプセル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0D13A2" w14:textId="13AE059C" w:rsidR="00245901" w:rsidRDefault="009C16E4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16E4">
              <w:rPr>
                <w:rFonts w:ascii="ＭＳ ゴシック" w:eastAsia="ＭＳ ゴシック" w:hAnsi="ＭＳ ゴシック"/>
                <w:sz w:val="18"/>
              </w:rPr>
              <w:t>約</w:t>
            </w:r>
            <w:r w:rsidRPr="009C16E4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9C16E4">
              <w:rPr>
                <w:rFonts w:ascii="ＭＳ ゴシック" w:eastAsia="ＭＳ ゴシック" w:hAnsi="ＭＳ ゴシック"/>
                <w:sz w:val="18"/>
              </w:rPr>
              <w:t>.22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245901" w:rsidRPr="00460B62" w:rsidRDefault="00245901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245901" w:rsidRDefault="00245901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071908">
        <w:trPr>
          <w:trHeight w:val="4104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110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02B7EAE8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4BB6D04" w14:textId="2AEF1329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（1）絶食投与した場合</w:t>
            </w:r>
          </w:p>
          <w:p w14:paraId="05522F24" w14:textId="30BECDAF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6428F6" wp14:editId="7CC51146">
                  <wp:simplePos x="0" y="0"/>
                  <wp:positionH relativeFrom="column">
                    <wp:posOffset>223974</wp:posOffset>
                  </wp:positionH>
                  <wp:positionV relativeFrom="paragraph">
                    <wp:posOffset>24584</wp:posOffset>
                  </wp:positionV>
                  <wp:extent cx="1798461" cy="11430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85" cy="11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E725C9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A16238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41BBC8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CDE5C3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F4384A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204F8A" w14:textId="07C4EFF3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35F2ED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98471D" w14:textId="77777777" w:rsidR="00071908" w:rsidRPr="006301A7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A7CF5E" wp14:editId="7EA43653">
                  <wp:simplePos x="0" y="0"/>
                  <wp:positionH relativeFrom="column">
                    <wp:posOffset>174987</wp:posOffset>
                  </wp:positionH>
                  <wp:positionV relativeFrom="paragraph">
                    <wp:posOffset>145323</wp:posOffset>
                  </wp:positionV>
                  <wp:extent cx="1835223" cy="117021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933" cy="117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（2）食後投与した場合</w:t>
            </w:r>
          </w:p>
          <w:p w14:paraId="23ECDF2E" w14:textId="77777777" w:rsidR="00071908" w:rsidRPr="006301A7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13AB1AA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3BEAB50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4BEECC2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8DC05E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819B395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D0B4860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4E45E45" w14:textId="4B55187D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8015D46" w14:textId="1A9957AB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000D5" wp14:editId="6FED10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64251</wp:posOffset>
                      </wp:positionV>
                      <wp:extent cx="2583815" cy="5348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90A494" w14:textId="77777777" w:rsidR="00071908" w:rsidRPr="000B0946" w:rsidRDefault="00071908" w:rsidP="00071908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従った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  <w:p w14:paraId="62069B61" w14:textId="77777777" w:rsidR="00071908" w:rsidRPr="000B0946" w:rsidRDefault="00071908" w:rsidP="0007190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0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.2pt;margin-top:5.05pt;width:203.4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" filled="f" stroked="f" strokeweight=".5pt">
                      <v:textbox>
                        <w:txbxContent>
                          <w:p w14:paraId="6290A494" w14:textId="77777777" w:rsidR="00071908" w:rsidRPr="000B0946" w:rsidRDefault="00071908" w:rsidP="00071908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従った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  <w:p w14:paraId="62069B61" w14:textId="77777777" w:rsidR="00071908" w:rsidRPr="000B0946" w:rsidRDefault="00071908" w:rsidP="0007190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48D89" w14:textId="44D8ABB1" w:rsidR="003E67F2" w:rsidRPr="00071908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E4E793D" w14:textId="768C61CA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77777777" w:rsidR="00FD3D9D" w:rsidRPr="00790B94" w:rsidRDefault="00FD3D9D" w:rsidP="00C27EB1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348" w:type="dxa"/>
            <w:gridSpan w:val="2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3AA3667" w14:textId="42EF5E83" w:rsidR="00E13062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785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 w:rsidR="007854FB">
              <w:rPr>
                <w:rFonts w:ascii="ＭＳ ゴシック" w:eastAsia="ＭＳ ゴシック" w:hAnsi="ＭＳ ゴシック"/>
                <w:sz w:val="18"/>
                <w:szCs w:val="18"/>
              </w:rPr>
              <w:t>H1.2</w:t>
            </w:r>
            <w:r w:rsidR="00785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、6.0、6.8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297F51A2" w14:textId="1BB633B5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F2F890C" wp14:editId="53389EA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238818</wp:posOffset>
                  </wp:positionV>
                  <wp:extent cx="2635250" cy="1524000"/>
                  <wp:effectExtent l="0" t="0" r="0" b="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03"/>
                          <a:stretch/>
                        </pic:blipFill>
                        <pic:spPr bwMode="auto">
                          <a:xfrm>
                            <a:off x="0" y="0"/>
                            <a:ext cx="2635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H6.8/100rpm(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回転バスケット法)</w:t>
            </w:r>
          </w:p>
          <w:p w14:paraId="7B8C8377" w14:textId="0358BCB1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A6604" wp14:editId="5025100B">
                      <wp:simplePos x="0" y="0"/>
                      <wp:positionH relativeFrom="column">
                        <wp:posOffset>-26381</wp:posOffset>
                      </wp:positionH>
                      <wp:positionV relativeFrom="paragraph">
                        <wp:posOffset>1670050</wp:posOffset>
                      </wp:positionV>
                      <wp:extent cx="2593687" cy="588241"/>
                      <wp:effectExtent l="0" t="0" r="0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687" cy="588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6A7AF8" w14:textId="77777777" w:rsidR="00E01F81" w:rsidRPr="00E01F81" w:rsidRDefault="00E01F81" w:rsidP="00E01F8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E01F8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「後発医薬品の生物学的同等性試験ガイドライン」に従い溶出試験を実施した結果、両製剤の溶出挙動の類似性が確認された。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6604" id="テキスト ボックス 6" o:spid="_x0000_s1027" type="#_x0000_t202" style="position:absolute;left:0;text-align:left;margin-left:-2.1pt;margin-top:131.5pt;width:204.25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" filled="f" stroked="f" strokeweight=".5pt">
                      <v:textbox>
                        <w:txbxContent>
                          <w:p w14:paraId="276A7AF8" w14:textId="77777777" w:rsidR="00E01F81" w:rsidRPr="00E01F81" w:rsidRDefault="00E01F81" w:rsidP="00E01F8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01F8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「後発医薬品の生物学的同等性試験ガイドライン」に従い溶出試験を実施した結果、両製剤の溶出挙動の類似性が確認された。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B7B37" w14:textId="5B4BBB2E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B79207" w14:textId="77777777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B32D79" w14:textId="04F2A52E" w:rsidR="00E01F81" w:rsidRP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F52B2D">
      <w:headerReference w:type="default" r:id="rId18"/>
      <w:footerReference w:type="even" r:id="rId19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07D3" w14:textId="77777777" w:rsidR="001F3478" w:rsidRDefault="001F3478">
      <w:r>
        <w:separator/>
      </w:r>
    </w:p>
  </w:endnote>
  <w:endnote w:type="continuationSeparator" w:id="0">
    <w:p w14:paraId="262F7459" w14:textId="77777777" w:rsidR="001F3478" w:rsidRDefault="001F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D464" w14:textId="77777777" w:rsidR="001F3478" w:rsidRDefault="001F3478">
      <w:r>
        <w:separator/>
      </w:r>
    </w:p>
  </w:footnote>
  <w:footnote w:type="continuationSeparator" w:id="0">
    <w:p w14:paraId="0875BDCE" w14:textId="77777777" w:rsidR="001F3478" w:rsidRDefault="001F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998C" w14:textId="3E90A8E1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AF4160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5F0D83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2674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672F"/>
    <w:rsid w:val="000373BB"/>
    <w:rsid w:val="00046185"/>
    <w:rsid w:val="00047C15"/>
    <w:rsid w:val="00047E39"/>
    <w:rsid w:val="000565CD"/>
    <w:rsid w:val="00060A59"/>
    <w:rsid w:val="00061368"/>
    <w:rsid w:val="00061837"/>
    <w:rsid w:val="00070E12"/>
    <w:rsid w:val="00071908"/>
    <w:rsid w:val="00075477"/>
    <w:rsid w:val="00077F06"/>
    <w:rsid w:val="00090CD2"/>
    <w:rsid w:val="000A1DD5"/>
    <w:rsid w:val="000A26A0"/>
    <w:rsid w:val="000A56F7"/>
    <w:rsid w:val="000A6903"/>
    <w:rsid w:val="000B0946"/>
    <w:rsid w:val="000B5772"/>
    <w:rsid w:val="000C4844"/>
    <w:rsid w:val="000C5054"/>
    <w:rsid w:val="000C6370"/>
    <w:rsid w:val="000D5E67"/>
    <w:rsid w:val="000D7C60"/>
    <w:rsid w:val="000E1662"/>
    <w:rsid w:val="000E3C81"/>
    <w:rsid w:val="000E6479"/>
    <w:rsid w:val="000E663F"/>
    <w:rsid w:val="000F08E0"/>
    <w:rsid w:val="000F24C9"/>
    <w:rsid w:val="000F46C7"/>
    <w:rsid w:val="00101844"/>
    <w:rsid w:val="0010488C"/>
    <w:rsid w:val="001156F4"/>
    <w:rsid w:val="001161C2"/>
    <w:rsid w:val="00125746"/>
    <w:rsid w:val="00126BC2"/>
    <w:rsid w:val="00127707"/>
    <w:rsid w:val="00137FAF"/>
    <w:rsid w:val="00141C1E"/>
    <w:rsid w:val="001558DA"/>
    <w:rsid w:val="00156CDB"/>
    <w:rsid w:val="0017481E"/>
    <w:rsid w:val="001767A3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D2EB6"/>
    <w:rsid w:val="001E0359"/>
    <w:rsid w:val="001E1AF3"/>
    <w:rsid w:val="001E74EB"/>
    <w:rsid w:val="001F2308"/>
    <w:rsid w:val="001F2639"/>
    <w:rsid w:val="001F3478"/>
    <w:rsid w:val="001F3584"/>
    <w:rsid w:val="001F402B"/>
    <w:rsid w:val="00200A0E"/>
    <w:rsid w:val="0020166D"/>
    <w:rsid w:val="00207411"/>
    <w:rsid w:val="002078A6"/>
    <w:rsid w:val="00207B78"/>
    <w:rsid w:val="00221B7F"/>
    <w:rsid w:val="002236D9"/>
    <w:rsid w:val="00225418"/>
    <w:rsid w:val="00227015"/>
    <w:rsid w:val="0023346F"/>
    <w:rsid w:val="002359FF"/>
    <w:rsid w:val="00242339"/>
    <w:rsid w:val="00242F5E"/>
    <w:rsid w:val="00245901"/>
    <w:rsid w:val="00246231"/>
    <w:rsid w:val="00246C03"/>
    <w:rsid w:val="00250FDB"/>
    <w:rsid w:val="00252CD7"/>
    <w:rsid w:val="00260085"/>
    <w:rsid w:val="00261292"/>
    <w:rsid w:val="0026169A"/>
    <w:rsid w:val="0027360A"/>
    <w:rsid w:val="00277255"/>
    <w:rsid w:val="00292B44"/>
    <w:rsid w:val="002A50CB"/>
    <w:rsid w:val="002B02CA"/>
    <w:rsid w:val="002B0398"/>
    <w:rsid w:val="002B1F9D"/>
    <w:rsid w:val="002B5039"/>
    <w:rsid w:val="002B6A8B"/>
    <w:rsid w:val="002B796E"/>
    <w:rsid w:val="002D75E7"/>
    <w:rsid w:val="002E0A73"/>
    <w:rsid w:val="002E2308"/>
    <w:rsid w:val="002E236C"/>
    <w:rsid w:val="002E2D22"/>
    <w:rsid w:val="002E44E9"/>
    <w:rsid w:val="002E5868"/>
    <w:rsid w:val="002E6A96"/>
    <w:rsid w:val="002F2026"/>
    <w:rsid w:val="00300217"/>
    <w:rsid w:val="00300430"/>
    <w:rsid w:val="003044F2"/>
    <w:rsid w:val="00307DF7"/>
    <w:rsid w:val="0031398E"/>
    <w:rsid w:val="003209DF"/>
    <w:rsid w:val="00322394"/>
    <w:rsid w:val="0032373B"/>
    <w:rsid w:val="00326660"/>
    <w:rsid w:val="00336070"/>
    <w:rsid w:val="003427BE"/>
    <w:rsid w:val="00352357"/>
    <w:rsid w:val="003575BF"/>
    <w:rsid w:val="0036025C"/>
    <w:rsid w:val="00361395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A7505"/>
    <w:rsid w:val="003B4B3B"/>
    <w:rsid w:val="003C7A11"/>
    <w:rsid w:val="003E3018"/>
    <w:rsid w:val="003E67F2"/>
    <w:rsid w:val="003E7077"/>
    <w:rsid w:val="003E70A4"/>
    <w:rsid w:val="003F0C4A"/>
    <w:rsid w:val="003F4E38"/>
    <w:rsid w:val="0040174D"/>
    <w:rsid w:val="004108FF"/>
    <w:rsid w:val="004121F9"/>
    <w:rsid w:val="0041769C"/>
    <w:rsid w:val="004259A9"/>
    <w:rsid w:val="0042610B"/>
    <w:rsid w:val="0042647D"/>
    <w:rsid w:val="00427E75"/>
    <w:rsid w:val="00430A8D"/>
    <w:rsid w:val="004339BA"/>
    <w:rsid w:val="00435D0C"/>
    <w:rsid w:val="00442842"/>
    <w:rsid w:val="00446AB6"/>
    <w:rsid w:val="0045065B"/>
    <w:rsid w:val="00452B46"/>
    <w:rsid w:val="0045417C"/>
    <w:rsid w:val="004541B3"/>
    <w:rsid w:val="004557C0"/>
    <w:rsid w:val="00460B62"/>
    <w:rsid w:val="00462F9F"/>
    <w:rsid w:val="00482456"/>
    <w:rsid w:val="00490283"/>
    <w:rsid w:val="00490331"/>
    <w:rsid w:val="00496EE9"/>
    <w:rsid w:val="004A1B56"/>
    <w:rsid w:val="004C1CA4"/>
    <w:rsid w:val="004C361A"/>
    <w:rsid w:val="004C3B4A"/>
    <w:rsid w:val="004C798F"/>
    <w:rsid w:val="004D024C"/>
    <w:rsid w:val="004D5BAC"/>
    <w:rsid w:val="004D5BE5"/>
    <w:rsid w:val="004F4375"/>
    <w:rsid w:val="004F6273"/>
    <w:rsid w:val="004F7F3E"/>
    <w:rsid w:val="00500412"/>
    <w:rsid w:val="0050700F"/>
    <w:rsid w:val="00512C36"/>
    <w:rsid w:val="00513C37"/>
    <w:rsid w:val="00513E2C"/>
    <w:rsid w:val="00523EC8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81E5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16B6"/>
    <w:rsid w:val="005C2540"/>
    <w:rsid w:val="005C2816"/>
    <w:rsid w:val="005C3176"/>
    <w:rsid w:val="005C6175"/>
    <w:rsid w:val="005C63D8"/>
    <w:rsid w:val="005C6DC8"/>
    <w:rsid w:val="005D4305"/>
    <w:rsid w:val="005E5CE8"/>
    <w:rsid w:val="005F0D83"/>
    <w:rsid w:val="005F6A42"/>
    <w:rsid w:val="00607D57"/>
    <w:rsid w:val="00613E4B"/>
    <w:rsid w:val="00614BAB"/>
    <w:rsid w:val="00621E6B"/>
    <w:rsid w:val="006272B7"/>
    <w:rsid w:val="00633B18"/>
    <w:rsid w:val="00636F22"/>
    <w:rsid w:val="0063798B"/>
    <w:rsid w:val="006521C0"/>
    <w:rsid w:val="00654AFE"/>
    <w:rsid w:val="00662DB3"/>
    <w:rsid w:val="00663ACD"/>
    <w:rsid w:val="00663BAA"/>
    <w:rsid w:val="00663E06"/>
    <w:rsid w:val="00664B8A"/>
    <w:rsid w:val="00666780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06E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20B6"/>
    <w:rsid w:val="00742451"/>
    <w:rsid w:val="007475DD"/>
    <w:rsid w:val="00747B71"/>
    <w:rsid w:val="007549D0"/>
    <w:rsid w:val="00755D11"/>
    <w:rsid w:val="00757D97"/>
    <w:rsid w:val="00765EB1"/>
    <w:rsid w:val="0077132B"/>
    <w:rsid w:val="00771BA3"/>
    <w:rsid w:val="007808E8"/>
    <w:rsid w:val="007811AE"/>
    <w:rsid w:val="00781994"/>
    <w:rsid w:val="007839E1"/>
    <w:rsid w:val="00784937"/>
    <w:rsid w:val="007854FB"/>
    <w:rsid w:val="00785C40"/>
    <w:rsid w:val="00790B94"/>
    <w:rsid w:val="007967C1"/>
    <w:rsid w:val="007A23B3"/>
    <w:rsid w:val="007A4040"/>
    <w:rsid w:val="007A5D01"/>
    <w:rsid w:val="007B27CF"/>
    <w:rsid w:val="007B7986"/>
    <w:rsid w:val="007C49AB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73E7"/>
    <w:rsid w:val="007F7B25"/>
    <w:rsid w:val="00800957"/>
    <w:rsid w:val="0081633A"/>
    <w:rsid w:val="00816645"/>
    <w:rsid w:val="00816E87"/>
    <w:rsid w:val="0082192B"/>
    <w:rsid w:val="00821B27"/>
    <w:rsid w:val="00823419"/>
    <w:rsid w:val="0082699C"/>
    <w:rsid w:val="00833E0F"/>
    <w:rsid w:val="00834E75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1B58"/>
    <w:rsid w:val="0087412B"/>
    <w:rsid w:val="00880FEC"/>
    <w:rsid w:val="00882947"/>
    <w:rsid w:val="008923DB"/>
    <w:rsid w:val="00892518"/>
    <w:rsid w:val="008A171D"/>
    <w:rsid w:val="008A7BCB"/>
    <w:rsid w:val="008B0A0B"/>
    <w:rsid w:val="008B12A5"/>
    <w:rsid w:val="008B1C40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493"/>
    <w:rsid w:val="008F7E9A"/>
    <w:rsid w:val="00903287"/>
    <w:rsid w:val="0090574E"/>
    <w:rsid w:val="009059BC"/>
    <w:rsid w:val="00905C75"/>
    <w:rsid w:val="009066B0"/>
    <w:rsid w:val="009114FA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841F2"/>
    <w:rsid w:val="00993714"/>
    <w:rsid w:val="009A57C4"/>
    <w:rsid w:val="009A6B40"/>
    <w:rsid w:val="009A6E19"/>
    <w:rsid w:val="009B1A93"/>
    <w:rsid w:val="009B7481"/>
    <w:rsid w:val="009C16E4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04338"/>
    <w:rsid w:val="00A101DF"/>
    <w:rsid w:val="00A119EB"/>
    <w:rsid w:val="00A13FA8"/>
    <w:rsid w:val="00A2227D"/>
    <w:rsid w:val="00A35DEC"/>
    <w:rsid w:val="00A41D4D"/>
    <w:rsid w:val="00A4204A"/>
    <w:rsid w:val="00A425AF"/>
    <w:rsid w:val="00A442E0"/>
    <w:rsid w:val="00A50390"/>
    <w:rsid w:val="00A50BCE"/>
    <w:rsid w:val="00A53050"/>
    <w:rsid w:val="00A53283"/>
    <w:rsid w:val="00A55DED"/>
    <w:rsid w:val="00A72324"/>
    <w:rsid w:val="00A80A26"/>
    <w:rsid w:val="00A8587C"/>
    <w:rsid w:val="00A85C73"/>
    <w:rsid w:val="00A8685E"/>
    <w:rsid w:val="00A940BE"/>
    <w:rsid w:val="00AA3367"/>
    <w:rsid w:val="00AA3882"/>
    <w:rsid w:val="00AA39A8"/>
    <w:rsid w:val="00AB097F"/>
    <w:rsid w:val="00AB20E9"/>
    <w:rsid w:val="00AC4A54"/>
    <w:rsid w:val="00AC509C"/>
    <w:rsid w:val="00AC62D1"/>
    <w:rsid w:val="00AC7A23"/>
    <w:rsid w:val="00AC7E9A"/>
    <w:rsid w:val="00AD52BE"/>
    <w:rsid w:val="00AD57E1"/>
    <w:rsid w:val="00AE0D3E"/>
    <w:rsid w:val="00AE2D88"/>
    <w:rsid w:val="00AE3532"/>
    <w:rsid w:val="00AE686E"/>
    <w:rsid w:val="00AF158C"/>
    <w:rsid w:val="00AF4160"/>
    <w:rsid w:val="00AF627F"/>
    <w:rsid w:val="00B07D9C"/>
    <w:rsid w:val="00B07E93"/>
    <w:rsid w:val="00B129DE"/>
    <w:rsid w:val="00B14A51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76779"/>
    <w:rsid w:val="00B8269F"/>
    <w:rsid w:val="00B905F2"/>
    <w:rsid w:val="00B91832"/>
    <w:rsid w:val="00B9310A"/>
    <w:rsid w:val="00B952B8"/>
    <w:rsid w:val="00B97A9C"/>
    <w:rsid w:val="00BA1938"/>
    <w:rsid w:val="00BA7439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27EB1"/>
    <w:rsid w:val="00C32E43"/>
    <w:rsid w:val="00C33656"/>
    <w:rsid w:val="00C34B2B"/>
    <w:rsid w:val="00C3657C"/>
    <w:rsid w:val="00C37F45"/>
    <w:rsid w:val="00C53547"/>
    <w:rsid w:val="00C55FEE"/>
    <w:rsid w:val="00C57C0E"/>
    <w:rsid w:val="00C64160"/>
    <w:rsid w:val="00C641F6"/>
    <w:rsid w:val="00C72B07"/>
    <w:rsid w:val="00C753D5"/>
    <w:rsid w:val="00C76BAC"/>
    <w:rsid w:val="00C80000"/>
    <w:rsid w:val="00C80526"/>
    <w:rsid w:val="00C92BA3"/>
    <w:rsid w:val="00C9413F"/>
    <w:rsid w:val="00C9582B"/>
    <w:rsid w:val="00C979E7"/>
    <w:rsid w:val="00CA10FD"/>
    <w:rsid w:val="00CA5C79"/>
    <w:rsid w:val="00CA7A08"/>
    <w:rsid w:val="00CB155C"/>
    <w:rsid w:val="00CB3ACD"/>
    <w:rsid w:val="00CB7B9E"/>
    <w:rsid w:val="00CC0E07"/>
    <w:rsid w:val="00CC344E"/>
    <w:rsid w:val="00CC58A0"/>
    <w:rsid w:val="00CE297A"/>
    <w:rsid w:val="00CE44E4"/>
    <w:rsid w:val="00CE4672"/>
    <w:rsid w:val="00CE5D49"/>
    <w:rsid w:val="00CE77E4"/>
    <w:rsid w:val="00CF685B"/>
    <w:rsid w:val="00D07065"/>
    <w:rsid w:val="00D17E13"/>
    <w:rsid w:val="00D24DDA"/>
    <w:rsid w:val="00D268F3"/>
    <w:rsid w:val="00D27BEB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836A1"/>
    <w:rsid w:val="00D91984"/>
    <w:rsid w:val="00D93A12"/>
    <w:rsid w:val="00DA4E29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01F81"/>
    <w:rsid w:val="00E10CA5"/>
    <w:rsid w:val="00E12920"/>
    <w:rsid w:val="00E13062"/>
    <w:rsid w:val="00E22D77"/>
    <w:rsid w:val="00E260F0"/>
    <w:rsid w:val="00E34317"/>
    <w:rsid w:val="00E4433F"/>
    <w:rsid w:val="00E52317"/>
    <w:rsid w:val="00E52845"/>
    <w:rsid w:val="00E530DD"/>
    <w:rsid w:val="00E53610"/>
    <w:rsid w:val="00E54CC8"/>
    <w:rsid w:val="00E6064A"/>
    <w:rsid w:val="00E622F0"/>
    <w:rsid w:val="00E71B5F"/>
    <w:rsid w:val="00E733A6"/>
    <w:rsid w:val="00E8566E"/>
    <w:rsid w:val="00E92AAF"/>
    <w:rsid w:val="00E931F5"/>
    <w:rsid w:val="00E93C2E"/>
    <w:rsid w:val="00EA09F0"/>
    <w:rsid w:val="00EA62ED"/>
    <w:rsid w:val="00EA6FD7"/>
    <w:rsid w:val="00EB151A"/>
    <w:rsid w:val="00EB1667"/>
    <w:rsid w:val="00EB248D"/>
    <w:rsid w:val="00EB7405"/>
    <w:rsid w:val="00EC29B1"/>
    <w:rsid w:val="00EC40A2"/>
    <w:rsid w:val="00ED027E"/>
    <w:rsid w:val="00EF15D4"/>
    <w:rsid w:val="00EF7E6D"/>
    <w:rsid w:val="00F00914"/>
    <w:rsid w:val="00F00C62"/>
    <w:rsid w:val="00F12F7E"/>
    <w:rsid w:val="00F13B8B"/>
    <w:rsid w:val="00F21C30"/>
    <w:rsid w:val="00F24297"/>
    <w:rsid w:val="00F35C7D"/>
    <w:rsid w:val="00F44F8F"/>
    <w:rsid w:val="00F454A2"/>
    <w:rsid w:val="00F467F7"/>
    <w:rsid w:val="00F50B32"/>
    <w:rsid w:val="00F52B2D"/>
    <w:rsid w:val="00F54F52"/>
    <w:rsid w:val="00F55AE2"/>
    <w:rsid w:val="00F60A55"/>
    <w:rsid w:val="00F66407"/>
    <w:rsid w:val="00F710C2"/>
    <w:rsid w:val="00F73B50"/>
    <w:rsid w:val="00F73F20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0C41"/>
    <w:rsid w:val="00FB1012"/>
    <w:rsid w:val="00FB17A6"/>
    <w:rsid w:val="00FB27AB"/>
    <w:rsid w:val="00FB4077"/>
    <w:rsid w:val="00FB6295"/>
    <w:rsid w:val="00FB757D"/>
    <w:rsid w:val="00FC33E5"/>
    <w:rsid w:val="00FD00A7"/>
    <w:rsid w:val="00FD349B"/>
    <w:rsid w:val="00FD3D9D"/>
    <w:rsid w:val="00FD7999"/>
    <w:rsid w:val="00FE235F"/>
    <w:rsid w:val="00FF453C"/>
    <w:rsid w:val="00FF4A4D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AF416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A1DA-02BE-4FE3-ADF0-0CCFD6C0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15</cp:revision>
  <cp:lastPrinted>2024-03-14T02:55:00Z</cp:lastPrinted>
  <dcterms:created xsi:type="dcterms:W3CDTF">2021-06-17T02:48:00Z</dcterms:created>
  <dcterms:modified xsi:type="dcterms:W3CDTF">2024-03-14T02:55:00Z</dcterms:modified>
</cp:coreProperties>
</file>