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B6F5"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F02931F"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0D2D5FD"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218F7ACC" w14:textId="77777777" w:rsidTr="003F20F5">
        <w:tc>
          <w:tcPr>
            <w:tcW w:w="9968" w:type="dxa"/>
            <w:gridSpan w:val="2"/>
          </w:tcPr>
          <w:p w14:paraId="136840ED"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73D86C3D" w14:textId="77777777" w:rsidTr="009166E6">
        <w:trPr>
          <w:trHeight w:val="1134"/>
        </w:trPr>
        <w:tc>
          <w:tcPr>
            <w:tcW w:w="7807" w:type="dxa"/>
          </w:tcPr>
          <w:p w14:paraId="1866AE84"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ミノドロン酸錠</w:t>
            </w:r>
            <w:r w:rsidRPr="000600ED">
              <w:rPr>
                <w:rFonts w:asciiTheme="majorEastAsia" w:eastAsiaTheme="majorEastAsia" w:hAnsiTheme="majorEastAsia"/>
                <w:b/>
                <w:sz w:val="24"/>
                <w:szCs w:val="24"/>
              </w:rPr>
              <w:t>50mg</w:t>
            </w:r>
            <w:r w:rsidRPr="000600ED">
              <w:rPr>
                <w:rFonts w:asciiTheme="majorEastAsia" w:eastAsiaTheme="majorEastAsia" w:hAnsiTheme="majorEastAsia" w:hint="eastAsia"/>
                <w:b/>
                <w:sz w:val="24"/>
                <w:szCs w:val="24"/>
              </w:rPr>
              <w:t>「三笠」</w:t>
            </w:r>
          </w:p>
          <w:p w14:paraId="3641BF97"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ミノドロン酸水和物</w:t>
            </w:r>
            <w:r w:rsidRPr="000600ED">
              <w:rPr>
                <w:rFonts w:asciiTheme="minorEastAsia" w:hAnsiTheme="minorEastAsia"/>
                <w:sz w:val="20"/>
                <w:szCs w:val="20"/>
              </w:rPr>
              <w:t>(Minodronic acid hydrate)</w:t>
            </w:r>
          </w:p>
          <w:p w14:paraId="135FE231"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ごくうすい赤色の錠剤、長径</w:t>
            </w:r>
            <w:r w:rsidRPr="000600ED">
              <w:rPr>
                <w:rFonts w:asciiTheme="minorEastAsia" w:hAnsiTheme="minorEastAsia"/>
                <w:sz w:val="20"/>
                <w:szCs w:val="20"/>
              </w:rPr>
              <w:t>13.2mm</w:t>
            </w:r>
            <w:r w:rsidRPr="000600ED">
              <w:rPr>
                <w:rFonts w:asciiTheme="minorEastAsia" w:hAnsiTheme="minorEastAsia" w:hint="eastAsia"/>
                <w:sz w:val="20"/>
                <w:szCs w:val="20"/>
              </w:rPr>
              <w:t>、短径</w:t>
            </w:r>
            <w:r w:rsidRPr="000600ED">
              <w:rPr>
                <w:rFonts w:asciiTheme="minorEastAsia" w:hAnsiTheme="minorEastAsia"/>
                <w:sz w:val="20"/>
                <w:szCs w:val="20"/>
              </w:rPr>
              <w:t>7.2mm</w:t>
            </w:r>
            <w:r w:rsidRPr="000600ED">
              <w:rPr>
                <w:rFonts w:asciiTheme="minorEastAsia" w:hAnsiTheme="minorEastAsia" w:hint="eastAsia"/>
                <w:sz w:val="20"/>
                <w:szCs w:val="20"/>
              </w:rPr>
              <w:t>、厚さ</w:t>
            </w:r>
            <w:r w:rsidRPr="000600ED">
              <w:rPr>
                <w:rFonts w:asciiTheme="minorEastAsia" w:hAnsiTheme="minorEastAsia"/>
                <w:sz w:val="20"/>
                <w:szCs w:val="20"/>
              </w:rPr>
              <w:t>4.4mm</w:t>
            </w:r>
          </w:p>
          <w:p w14:paraId="60753F93"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ミノドロン酸</w:t>
            </w:r>
            <w:r w:rsidR="000600ED" w:rsidRPr="000600ED">
              <w:rPr>
                <w:rFonts w:asciiTheme="minorEastAsia" w:hAnsiTheme="minorEastAsia"/>
                <w:sz w:val="20"/>
                <w:szCs w:val="20"/>
              </w:rPr>
              <w:t>50</w:t>
            </w:r>
            <w:r w:rsidR="000600ED" w:rsidRPr="000600ED">
              <w:rPr>
                <w:rFonts w:asciiTheme="minorEastAsia" w:hAnsiTheme="minorEastAsia" w:hint="eastAsia"/>
                <w:sz w:val="20"/>
                <w:szCs w:val="20"/>
              </w:rPr>
              <w:t>「三笠」、ミノドロン酸</w:t>
            </w:r>
            <w:r w:rsidR="000600ED" w:rsidRPr="000600ED">
              <w:rPr>
                <w:rFonts w:asciiTheme="minorEastAsia" w:hAnsiTheme="minorEastAsia"/>
                <w:sz w:val="20"/>
                <w:szCs w:val="20"/>
              </w:rPr>
              <w:t>50mg</w:t>
            </w:r>
            <w:r w:rsidR="000600ED" w:rsidRPr="000600ED">
              <w:rPr>
                <w:rFonts w:asciiTheme="minorEastAsia" w:hAnsiTheme="minorEastAsia" w:hint="eastAsia"/>
                <w:sz w:val="20"/>
                <w:szCs w:val="20"/>
              </w:rPr>
              <w:t>「三笠」</w:t>
            </w:r>
          </w:p>
        </w:tc>
        <w:tc>
          <w:tcPr>
            <w:tcW w:w="2161" w:type="dxa"/>
          </w:tcPr>
          <w:p w14:paraId="0D14D91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5CABBE7" wp14:editId="5D977AFC">
                  <wp:extent cx="1219200" cy="209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209550"/>
                          </a:xfrm>
                          <a:prstGeom prst="rect">
                            <a:avLst/>
                          </a:prstGeom>
                          <a:noFill/>
                          <a:ln>
                            <a:noFill/>
                          </a:ln>
                        </pic:spPr>
                      </pic:pic>
                    </a:graphicData>
                  </a:graphic>
                </wp:inline>
              </w:drawing>
            </w:r>
          </w:p>
        </w:tc>
      </w:tr>
      <w:tr w:rsidR="00D24830" w14:paraId="672A3C48" w14:textId="77777777" w:rsidTr="003F20F5">
        <w:tc>
          <w:tcPr>
            <w:tcW w:w="9968" w:type="dxa"/>
            <w:gridSpan w:val="2"/>
          </w:tcPr>
          <w:p w14:paraId="50BD652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CDE9942" w14:textId="77777777" w:rsidR="00000000" w:rsidRDefault="000600ED" w:rsidP="003F20F5">
            <w:pPr>
              <w:ind w:leftChars="100" w:left="210"/>
              <w:jc w:val="left"/>
            </w:pPr>
            <w:r w:rsidRPr="000600ED">
              <w:rPr>
                <w:rFonts w:asciiTheme="minorEastAsia" w:hAnsiTheme="minorEastAsia" w:hint="eastAsia"/>
                <w:sz w:val="20"/>
                <w:szCs w:val="20"/>
              </w:rPr>
              <w:t>破骨細胞による骨吸収を抑えて骨密度と骨強度を高め、骨を折れにくくします。</w:t>
            </w:r>
          </w:p>
          <w:p w14:paraId="52AA37C4"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通常、骨粗鬆症の治療に用いられます。</w:t>
            </w:r>
          </w:p>
        </w:tc>
      </w:tr>
      <w:tr w:rsidR="00D24830" w14:paraId="2416B6A4" w14:textId="77777777" w:rsidTr="003F20F5">
        <w:tc>
          <w:tcPr>
            <w:tcW w:w="9968" w:type="dxa"/>
            <w:gridSpan w:val="2"/>
          </w:tcPr>
          <w:p w14:paraId="5A578D7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6BDA087B"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・以前に薬を使用して、かゆみ、発疹などのアレルギー症状が出たことがある。食道狭窄などの食道通過を遅延させる障害がある、服用時に上体を</w:t>
            </w:r>
            <w:r w:rsidRPr="000600ED">
              <w:rPr>
                <w:rFonts w:asciiTheme="minorEastAsia" w:hAnsiTheme="minorEastAsia"/>
                <w:sz w:val="20"/>
                <w:szCs w:val="20"/>
              </w:rPr>
              <w:t>30</w:t>
            </w:r>
            <w:r w:rsidRPr="000600ED">
              <w:rPr>
                <w:rFonts w:asciiTheme="minorEastAsia" w:hAnsiTheme="minorEastAsia" w:hint="eastAsia"/>
                <w:sz w:val="20"/>
                <w:szCs w:val="20"/>
              </w:rPr>
              <w:t>分以上起こしていることができない、低カルシウム血症がある。</w:t>
            </w:r>
          </w:p>
          <w:p w14:paraId="26844E1F" w14:textId="77777777" w:rsidR="00000000"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3CB5C36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69C32EC" w14:textId="77777777" w:rsidTr="003F20F5">
        <w:trPr>
          <w:trHeight w:val="788"/>
        </w:trPr>
        <w:tc>
          <w:tcPr>
            <w:tcW w:w="9968" w:type="dxa"/>
            <w:gridSpan w:val="2"/>
          </w:tcPr>
          <w:p w14:paraId="1669721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64AC541"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D7E33D7"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4</w:t>
            </w:r>
            <w:r w:rsidRPr="000600ED">
              <w:rPr>
                <w:rFonts w:asciiTheme="minorEastAsia" w:hAnsiTheme="minorEastAsia" w:hint="eastAsia"/>
                <w:sz w:val="20"/>
                <w:szCs w:val="20"/>
              </w:rPr>
              <w:t>週に</w:t>
            </w:r>
            <w:r w:rsidRPr="000600ED">
              <w:rPr>
                <w:rFonts w:asciiTheme="minorEastAsia" w:hAnsiTheme="minorEastAsia"/>
                <w:sz w:val="20"/>
                <w:szCs w:val="20"/>
              </w:rPr>
              <w:t>1</w:t>
            </w:r>
            <w:r w:rsidRPr="000600ED">
              <w:rPr>
                <w:rFonts w:asciiTheme="minorEastAsia" w:hAnsiTheme="minorEastAsia" w:hint="eastAsia"/>
                <w:sz w:val="20"/>
                <w:szCs w:val="20"/>
              </w:rPr>
              <w:t>回起床後最初の飲食前にコップ</w:t>
            </w:r>
            <w:r w:rsidRPr="000600ED">
              <w:rPr>
                <w:rFonts w:asciiTheme="minorEastAsia" w:hAnsiTheme="minorEastAsia"/>
                <w:sz w:val="20"/>
                <w:szCs w:val="20"/>
              </w:rPr>
              <w:t>1</w:t>
            </w:r>
            <w:r w:rsidRPr="000600ED">
              <w:rPr>
                <w:rFonts w:asciiTheme="minorEastAsia" w:hAnsiTheme="minorEastAsia" w:hint="eastAsia"/>
                <w:sz w:val="20"/>
                <w:szCs w:val="20"/>
              </w:rPr>
              <w:t>杯（約</w:t>
            </w:r>
            <w:r w:rsidRPr="000600ED">
              <w:rPr>
                <w:rFonts w:asciiTheme="minorEastAsia" w:hAnsiTheme="minorEastAsia"/>
                <w:sz w:val="20"/>
                <w:szCs w:val="20"/>
              </w:rPr>
              <w:t>180mL</w:t>
            </w:r>
            <w:r w:rsidRPr="000600ED">
              <w:rPr>
                <w:rFonts w:asciiTheme="minorEastAsia" w:hAnsiTheme="minorEastAsia" w:hint="eastAsia"/>
                <w:sz w:val="20"/>
                <w:szCs w:val="20"/>
              </w:rPr>
              <w:t>）の水で服用します。服用後少なくとも</w:t>
            </w:r>
            <w:r w:rsidRPr="000600ED">
              <w:rPr>
                <w:rFonts w:asciiTheme="minorEastAsia" w:hAnsiTheme="minorEastAsia"/>
                <w:sz w:val="20"/>
                <w:szCs w:val="20"/>
              </w:rPr>
              <w:t>30</w:t>
            </w:r>
            <w:r w:rsidRPr="000600ED">
              <w:rPr>
                <w:rFonts w:asciiTheme="minorEastAsia" w:hAnsiTheme="minorEastAsia" w:hint="eastAsia"/>
                <w:sz w:val="20"/>
                <w:szCs w:val="20"/>
              </w:rPr>
              <w:t>分は横にならず、水以外の飲食（カルシウムやマグネシウムを多く含むミネラルウォーターを含む）や他の薬の服用を避けてください。必ず指示された服用方法に従ってください。</w:t>
            </w:r>
          </w:p>
          <w:p w14:paraId="4D97A828" w14:textId="77777777" w:rsidR="00000000" w:rsidRDefault="000600ED" w:rsidP="001456F1">
            <w:pPr>
              <w:ind w:leftChars="100" w:left="410" w:hangingChars="100" w:hanging="200"/>
            </w:pPr>
            <w:r w:rsidRPr="000600ED">
              <w:rPr>
                <w:rFonts w:asciiTheme="minorEastAsia" w:hAnsiTheme="minorEastAsia" w:hint="eastAsia"/>
                <w:sz w:val="20"/>
                <w:szCs w:val="20"/>
              </w:rPr>
              <w:t>・口中や喉を刺激する可能性があるので、かんだり、口中で溶かしたりしないでください。</w:t>
            </w:r>
          </w:p>
          <w:p w14:paraId="4E1AD355" w14:textId="77777777" w:rsidR="00000000" w:rsidRDefault="000600ED" w:rsidP="001456F1">
            <w:pPr>
              <w:ind w:leftChars="100" w:left="410" w:hangingChars="100" w:hanging="200"/>
            </w:pPr>
            <w:r w:rsidRPr="000600ED">
              <w:rPr>
                <w:rFonts w:asciiTheme="minorEastAsia" w:hAnsiTheme="minorEastAsia" w:hint="eastAsia"/>
                <w:sz w:val="20"/>
                <w:szCs w:val="20"/>
              </w:rPr>
              <w:t>・就寝時または起床前に服用しないでください。</w:t>
            </w:r>
          </w:p>
          <w:p w14:paraId="762A44AF"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・飲み忘れた場合、気付いた日の翌朝に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回分を飲んでください。次からは決められた日に飲んでください（同じ日に</w:t>
            </w:r>
            <w:r w:rsidRPr="000600ED">
              <w:rPr>
                <w:rFonts w:asciiTheme="minorEastAsia" w:hAnsiTheme="minorEastAsia"/>
                <w:sz w:val="20"/>
                <w:szCs w:val="20"/>
              </w:rPr>
              <w:t>2</w:t>
            </w:r>
            <w:r w:rsidRPr="000600ED">
              <w:rPr>
                <w:rFonts w:asciiTheme="minorEastAsia" w:hAnsiTheme="minorEastAsia" w:hint="eastAsia"/>
                <w:sz w:val="20"/>
                <w:szCs w:val="20"/>
              </w:rPr>
              <w:t>回分を飲まないでください）。決められた日に飲み忘れた場合は、次回の来院時に医師または薬剤師に飲み忘れたこと（飲み忘れに気づいて飲んだこと）をご相談ください。</w:t>
            </w:r>
          </w:p>
          <w:p w14:paraId="4E99E17D"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06C524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265843FC" w14:textId="77777777" w:rsidTr="003F20F5">
        <w:tc>
          <w:tcPr>
            <w:tcW w:w="9968" w:type="dxa"/>
            <w:gridSpan w:val="2"/>
          </w:tcPr>
          <w:p w14:paraId="415A612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34CE250" w14:textId="77777777" w:rsidR="00000000" w:rsidRDefault="000600ED" w:rsidP="003F20F5">
            <w:pPr>
              <w:ind w:leftChars="100" w:left="410" w:hangingChars="100" w:hanging="200"/>
              <w:jc w:val="left"/>
            </w:pPr>
            <w:r w:rsidRPr="000600ED">
              <w:rPr>
                <w:rFonts w:asciiTheme="minorEastAsia" w:hAnsiTheme="minorEastAsia" w:hint="eastAsia"/>
                <w:sz w:val="20"/>
                <w:szCs w:val="20"/>
              </w:rPr>
              <w:t>・服用中は口腔内を清潔に保ってください。あごの痛みや腫れ、あごのしびれ感、歯のゆるみがあらわれるおそれがあります。</w:t>
            </w:r>
          </w:p>
          <w:p w14:paraId="77930128" w14:textId="77777777" w:rsidR="00000000" w:rsidRDefault="000600ED" w:rsidP="001456F1">
            <w:pPr>
              <w:ind w:leftChars="100" w:left="410" w:hangingChars="100" w:hanging="200"/>
            </w:pPr>
            <w:r w:rsidRPr="000600ED">
              <w:rPr>
                <w:rFonts w:asciiTheme="minorEastAsia" w:hAnsiTheme="minorEastAsia" w:hint="eastAsia"/>
                <w:sz w:val="20"/>
                <w:szCs w:val="20"/>
              </w:rPr>
              <w:t>・歯の治療を受ける場合には、この薬を服用していることを歯科医師または口腔外科医師に伝えてください。</w:t>
            </w:r>
          </w:p>
          <w:p w14:paraId="5DA06386" w14:textId="77777777" w:rsidR="00000000" w:rsidRDefault="000600ED" w:rsidP="001456F1">
            <w:pPr>
              <w:ind w:leftChars="100" w:left="410" w:hangingChars="100" w:hanging="200"/>
            </w:pPr>
            <w:r w:rsidRPr="000600ED">
              <w:rPr>
                <w:rFonts w:asciiTheme="minorEastAsia" w:hAnsiTheme="minorEastAsia" w:hint="eastAsia"/>
                <w:sz w:val="20"/>
                <w:szCs w:val="20"/>
              </w:rPr>
              <w:t>・食事などからカルシウムやビタミン</w:t>
            </w:r>
            <w:r w:rsidRPr="000600ED">
              <w:rPr>
                <w:rFonts w:asciiTheme="minorEastAsia" w:hAnsiTheme="minorEastAsia"/>
                <w:sz w:val="20"/>
                <w:szCs w:val="20"/>
              </w:rPr>
              <w:t>D</w:t>
            </w:r>
            <w:r w:rsidRPr="000600ED">
              <w:rPr>
                <w:rFonts w:asciiTheme="minorEastAsia" w:hAnsiTheme="minorEastAsia" w:hint="eastAsia"/>
                <w:sz w:val="20"/>
                <w:szCs w:val="20"/>
              </w:rPr>
              <w:t>をとるように心がけてください。ただし、カルシウムを多く含む飲食物、カルシウムを含むビタミン剤などはこの薬の吸収に影響を与えるおそれがあるので、この薬を飲んだ後、少なくとも</w:t>
            </w:r>
            <w:r w:rsidRPr="000600ED">
              <w:rPr>
                <w:rFonts w:asciiTheme="minorEastAsia" w:hAnsiTheme="minorEastAsia"/>
                <w:sz w:val="20"/>
                <w:szCs w:val="20"/>
              </w:rPr>
              <w:t>30</w:t>
            </w:r>
            <w:r w:rsidRPr="000600ED">
              <w:rPr>
                <w:rFonts w:asciiTheme="minorEastAsia" w:hAnsiTheme="minorEastAsia" w:hint="eastAsia"/>
                <w:sz w:val="20"/>
                <w:szCs w:val="20"/>
              </w:rPr>
              <w:t>分は、これらを摂らないでください。</w:t>
            </w:r>
          </w:p>
          <w:p w14:paraId="6D16FF97" w14:textId="77777777" w:rsidR="00D24830" w:rsidRPr="000600ED" w:rsidRDefault="00D24830" w:rsidP="001456F1">
            <w:pPr>
              <w:ind w:leftChars="100" w:left="410" w:hangingChars="100" w:hanging="200"/>
              <w:rPr>
                <w:rFonts w:asciiTheme="minorEastAsia"/>
                <w:sz w:val="20"/>
                <w:szCs w:val="20"/>
              </w:rPr>
            </w:pPr>
          </w:p>
        </w:tc>
      </w:tr>
      <w:tr w:rsidR="00D24830" w14:paraId="5102D715" w14:textId="77777777" w:rsidTr="003F20F5">
        <w:tc>
          <w:tcPr>
            <w:tcW w:w="9968" w:type="dxa"/>
            <w:gridSpan w:val="2"/>
          </w:tcPr>
          <w:p w14:paraId="2334E56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F516581"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主な副作用として、胃部不快感、腹部不快感、腹痛、胃炎などが報告されています。このような症状に気づいたら、担当の医師または薬剤師に相談してください。</w:t>
            </w:r>
          </w:p>
          <w:p w14:paraId="30AFCB7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31DB0F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51B66B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・みぞおちの痛み、圧痛、嘔吐</w:t>
            </w:r>
            <w:r w:rsidRPr="000600ED">
              <w:rPr>
                <w:rFonts w:asciiTheme="minorEastAsia" w:hAnsiTheme="minorEastAsia"/>
                <w:sz w:val="20"/>
                <w:szCs w:val="20"/>
              </w:rPr>
              <w:t xml:space="preserve"> [</w:t>
            </w:r>
            <w:r w:rsidRPr="000600ED">
              <w:rPr>
                <w:rFonts w:asciiTheme="minorEastAsia" w:hAnsiTheme="minorEastAsia" w:hint="eastAsia"/>
                <w:sz w:val="20"/>
                <w:szCs w:val="20"/>
              </w:rPr>
              <w:t>上部消化管障害</w:t>
            </w:r>
            <w:r w:rsidRPr="000600ED">
              <w:rPr>
                <w:rFonts w:asciiTheme="minorEastAsia" w:hAnsiTheme="minorEastAsia"/>
                <w:sz w:val="20"/>
                <w:szCs w:val="20"/>
              </w:rPr>
              <w:t>]</w:t>
            </w:r>
          </w:p>
          <w:p w14:paraId="0740A35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・歯・歯ぐき・顎の痛み、歯ぐきの腫れや排膿、歯のゆるみ</w:t>
            </w:r>
            <w:r w:rsidRPr="000600ED">
              <w:rPr>
                <w:rFonts w:asciiTheme="minorEastAsia" w:hAnsiTheme="minorEastAsia"/>
                <w:sz w:val="20"/>
                <w:szCs w:val="20"/>
              </w:rPr>
              <w:t xml:space="preserve"> [</w:t>
            </w:r>
            <w:r w:rsidRPr="000600ED">
              <w:rPr>
                <w:rFonts w:asciiTheme="minorEastAsia" w:hAnsiTheme="minorEastAsia" w:hint="eastAsia"/>
                <w:sz w:val="20"/>
                <w:szCs w:val="20"/>
              </w:rPr>
              <w:t>顎骨壊死・顎骨骨髄炎</w:t>
            </w:r>
            <w:r w:rsidRPr="000600ED">
              <w:rPr>
                <w:rFonts w:asciiTheme="minorEastAsia" w:hAnsiTheme="minorEastAsia"/>
                <w:sz w:val="20"/>
                <w:szCs w:val="20"/>
              </w:rPr>
              <w:t>]</w:t>
            </w:r>
          </w:p>
          <w:p w14:paraId="55C8370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・外耳炎（耳のかゆみ、耳の中の熱っぽさ、耳の違和感）、耳だれ、耳の痛み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外耳道骨壊死</w:t>
            </w:r>
            <w:r w:rsidRPr="000600ED">
              <w:rPr>
                <w:rFonts w:asciiTheme="minorEastAsia" w:hAnsiTheme="minorEastAsia"/>
                <w:sz w:val="20"/>
                <w:szCs w:val="20"/>
              </w:rPr>
              <w:t>]</w:t>
            </w:r>
          </w:p>
          <w:p w14:paraId="7CF3ADE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・太腿や太腿の付け根内側の痛み、前腕の痛み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大腿骨転子下、近位大腿骨骨幹部、近位尺骨骨幹部などの非定型骨折</w:t>
            </w:r>
            <w:r w:rsidRPr="000600ED">
              <w:rPr>
                <w:rFonts w:asciiTheme="minorEastAsia" w:hAnsiTheme="minorEastAsia"/>
                <w:sz w:val="20"/>
                <w:szCs w:val="20"/>
              </w:rPr>
              <w:t>]</w:t>
            </w:r>
          </w:p>
          <w:p w14:paraId="2B63771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21DDB20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8D41D42" w14:textId="77777777" w:rsidTr="003F20F5">
        <w:tc>
          <w:tcPr>
            <w:tcW w:w="9968" w:type="dxa"/>
            <w:gridSpan w:val="2"/>
          </w:tcPr>
          <w:p w14:paraId="7502311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022583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09ED81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tc>
      </w:tr>
      <w:tr w:rsidR="00D24830" w14:paraId="23B2879A" w14:textId="77777777" w:rsidTr="003F20F5">
        <w:tc>
          <w:tcPr>
            <w:tcW w:w="9968" w:type="dxa"/>
            <w:gridSpan w:val="2"/>
          </w:tcPr>
          <w:p w14:paraId="1C73240D"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83ACD9C" w14:textId="77777777" w:rsidR="00D24830" w:rsidRDefault="00D24830" w:rsidP="003F20F5">
            <w:pPr>
              <w:rPr>
                <w:rFonts w:asciiTheme="minorEastAsia"/>
                <w:sz w:val="20"/>
                <w:szCs w:val="20"/>
              </w:rPr>
            </w:pPr>
          </w:p>
          <w:p w14:paraId="52EE86B4" w14:textId="77777777" w:rsidR="00D24830" w:rsidRPr="007D422F" w:rsidRDefault="00D24830" w:rsidP="003F20F5">
            <w:pPr>
              <w:rPr>
                <w:rFonts w:asciiTheme="majorEastAsia" w:eastAsiaTheme="majorEastAsia" w:hAnsiTheme="majorEastAsia"/>
                <w:sz w:val="20"/>
                <w:szCs w:val="20"/>
              </w:rPr>
            </w:pPr>
          </w:p>
        </w:tc>
      </w:tr>
    </w:tbl>
    <w:p w14:paraId="1308DB1E" w14:textId="77777777" w:rsidR="007D422F" w:rsidRPr="003071A2" w:rsidRDefault="00D24830" w:rsidP="00D24830">
      <w:pPr>
        <w:jc w:val="left"/>
      </w:pPr>
      <w:r w:rsidRPr="000600ED">
        <w:rPr>
          <w:rFonts w:asciiTheme="minorEastAsia" w:hAnsiTheme="minorEastAsia" w:hint="eastAsia"/>
          <w:sz w:val="20"/>
          <w:szCs w:val="20"/>
        </w:rPr>
        <w:lastRenderedPageBreak/>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1F59" w14:textId="77777777" w:rsidR="005676BB" w:rsidRDefault="005676BB" w:rsidP="005676BB">
      <w:r>
        <w:separator/>
      </w:r>
    </w:p>
  </w:endnote>
  <w:endnote w:type="continuationSeparator" w:id="0">
    <w:p w14:paraId="5D99DA8E"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59C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0F3C" w14:textId="77777777" w:rsidR="005676BB" w:rsidRDefault="005676BB" w:rsidP="005676BB">
      <w:r>
        <w:separator/>
      </w:r>
    </w:p>
  </w:footnote>
  <w:footnote w:type="continuationSeparator" w:id="0">
    <w:p w14:paraId="36CC6423"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A31947"/>
    <w:rsid w:val="00AB2DE2"/>
    <w:rsid w:val="00B41A34"/>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F118BF"/>
  <w14:defaultImageDpi w14:val="0"/>
  <w15:docId w15:val="{4C1465A2-77D4-43B1-9D2E-A5BF4C5C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2021-08-24T04:39:00Z</dcterms:created>
  <dcterms:modified xsi:type="dcterms:W3CDTF">2021-08-24T04:39:00Z</dcterms:modified>
</cp:coreProperties>
</file>