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8A42" w14:textId="1E0DB40B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417"/>
        <w:gridCol w:w="1701"/>
        <w:gridCol w:w="1134"/>
        <w:gridCol w:w="142"/>
        <w:gridCol w:w="1134"/>
        <w:gridCol w:w="1701"/>
        <w:gridCol w:w="1229"/>
      </w:tblGrid>
      <w:tr w:rsidR="00955513" w:rsidRPr="00FB1012" w14:paraId="2651BBD4" w14:textId="77777777" w:rsidTr="00020786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BA1938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77777777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BA1938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11B4C0AE" w14:textId="77777777" w:rsidR="000D7C60" w:rsidRPr="00816E87" w:rsidRDefault="000D7C60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トアラセット配合錠「三笠」</w:t>
            </w:r>
          </w:p>
        </w:tc>
        <w:tc>
          <w:tcPr>
            <w:tcW w:w="4206" w:type="dxa"/>
            <w:gridSpan w:val="4"/>
            <w:tcBorders>
              <w:right w:val="single" w:sz="18" w:space="0" w:color="auto"/>
            </w:tcBorders>
            <w:vAlign w:val="center"/>
          </w:tcPr>
          <w:p w14:paraId="5E509752" w14:textId="77777777" w:rsidR="000D7C60" w:rsidRPr="00816E87" w:rsidRDefault="004557C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トラムセット配合錠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13B20247" w:rsidR="0082192B" w:rsidRPr="00816E87" w:rsidRDefault="00462F9F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トラマドール塩酸</w:t>
            </w:r>
            <w:r w:rsidR="0037379E" w:rsidRPr="00816E87">
              <w:rPr>
                <w:rFonts w:ascii="ＭＳ ゴシック" w:eastAsia="ＭＳ ゴシック" w:hAnsi="ＭＳ ゴシック" w:hint="eastAsia"/>
                <w:sz w:val="20"/>
              </w:rPr>
              <w:t>塩/アセトアミノフェン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3E48EE55" w:rsidR="006A6D57" w:rsidRPr="00C41029" w:rsidRDefault="00160CA0" w:rsidP="00C333A5">
            <w:pPr>
              <w:spacing w:line="240" w:lineRule="auto"/>
              <w:ind w:rightChars="76" w:right="182"/>
              <w:jc w:val="left"/>
              <w:rPr>
                <w:rFonts w:asciiTheme="majorEastAsia" w:eastAsiaTheme="majorEastAsia" w:hAnsiTheme="majorEastAsia"/>
                <w:w w:val="95"/>
                <w:sz w:val="20"/>
              </w:rPr>
            </w:pPr>
            <w:r w:rsidRPr="00E06A49">
              <w:rPr>
                <w:rFonts w:asciiTheme="majorEastAsia" w:eastAsiaTheme="majorEastAsia" w:hAnsiTheme="majorEastAsia" w:hint="eastAsia"/>
                <w:w w:val="98"/>
                <w:sz w:val="20"/>
                <w:fitText w:val="7844" w:id="-2090155006"/>
              </w:rPr>
              <w:t>1錠中 日本薬局方トラマドール塩酸塩37.5mg,日本薬局方アセトアミノフェン325mg含</w:t>
            </w:r>
            <w:r w:rsidRPr="00E06A49">
              <w:rPr>
                <w:rFonts w:asciiTheme="majorEastAsia" w:eastAsiaTheme="majorEastAsia" w:hAnsiTheme="majorEastAsia" w:hint="eastAsia"/>
                <w:spacing w:val="15"/>
                <w:w w:val="98"/>
                <w:sz w:val="20"/>
                <w:fitText w:val="7844" w:id="-2090155006"/>
              </w:rPr>
              <w:t>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77777777" w:rsidR="006A6D57" w:rsidRPr="00816E87" w:rsidRDefault="000F46C7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慢性疼痛/抜歯後疼痛治療剤</w:t>
            </w:r>
          </w:p>
        </w:tc>
      </w:tr>
      <w:tr w:rsidR="000F46C7" w:rsidRPr="00FB1012" w14:paraId="7E22E6B2" w14:textId="77777777" w:rsidTr="00A0134E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7DEFDEB3" w14:textId="529F9A8D" w:rsidR="000F46C7" w:rsidRPr="001B1908" w:rsidRDefault="00FF438F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B1908">
              <w:rPr>
                <w:rFonts w:asciiTheme="majorEastAsia" w:eastAsiaTheme="majorEastAsia" w:hAnsiTheme="majorEastAsia" w:hint="eastAsia"/>
                <w:sz w:val="20"/>
              </w:rPr>
              <w:t>14.60</w:t>
            </w:r>
            <w:r w:rsidR="00A0134E" w:rsidRPr="001B1908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06" w:type="dxa"/>
            <w:gridSpan w:val="4"/>
            <w:tcBorders>
              <w:right w:val="single" w:sz="18" w:space="0" w:color="auto"/>
            </w:tcBorders>
            <w:vAlign w:val="center"/>
          </w:tcPr>
          <w:p w14:paraId="763F86CA" w14:textId="18342262" w:rsidR="000F46C7" w:rsidRPr="001B1908" w:rsidRDefault="00083E00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B1908">
              <w:rPr>
                <w:rFonts w:asciiTheme="majorEastAsia" w:eastAsiaTheme="majorEastAsia" w:hAnsiTheme="majorEastAsia"/>
                <w:sz w:val="20"/>
              </w:rPr>
              <w:t>41.7</w:t>
            </w:r>
            <w:r w:rsidR="001F717F" w:rsidRPr="001B1908">
              <w:rPr>
                <w:rFonts w:asciiTheme="majorEastAsia" w:eastAsiaTheme="majorEastAsia" w:hAnsiTheme="majorEastAsia"/>
                <w:sz w:val="20"/>
              </w:rPr>
              <w:t>0</w:t>
            </w:r>
            <w:r w:rsidR="000F46C7" w:rsidRPr="001B1908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</w:tr>
      <w:tr w:rsidR="006A6D57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B94666" w14:textId="77777777" w:rsidR="002B796E" w:rsidRPr="00816E87" w:rsidRDefault="002B796E" w:rsidP="002B796E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非オピオイド鎮痛剤で治療困難な下記疾患における鎮痛</w:t>
            </w:r>
          </w:p>
          <w:p w14:paraId="1ECE946B" w14:textId="77777777" w:rsidR="006A6D57" w:rsidRPr="00816E87" w:rsidRDefault="002B796E" w:rsidP="002B796E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非がん性慢性疼痛、抜歯後の疼痛</w:t>
            </w:r>
          </w:p>
        </w:tc>
      </w:tr>
      <w:tr w:rsidR="006A6D57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B19B" w14:textId="77777777" w:rsidR="009A57C4" w:rsidRPr="00816E87" w:rsidRDefault="009A57C4" w:rsidP="009A57C4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b/>
                <w:sz w:val="20"/>
              </w:rPr>
              <w:t>非がん性慢性疼痛：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通常、成人には、1回1錠、1日4回経口投与する。投与間隔は4時間以上空けること。なお、症状に応じて適宜増減するが、1回2錠、1日8錠を超えて投与しないこと。また、空腹時の投与は避けることが望ましい。</w:t>
            </w:r>
          </w:p>
          <w:p w14:paraId="21EC4700" w14:textId="77777777" w:rsidR="006A6D57" w:rsidRPr="00816E87" w:rsidRDefault="009A57C4" w:rsidP="009A57C4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b/>
                <w:sz w:val="20"/>
              </w:rPr>
              <w:t>抜歯後の疼痛：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 xml:space="preserve">通常、成人には、1回2錠を経口投与する。なお、追加投与する場合には、投与間隔を4時間以上空け、1回2錠、1日8錠を超えて投与しないこと。また、空腹時の投与は避けることが望ましい。　　　　　　　</w:t>
            </w:r>
          </w:p>
        </w:tc>
      </w:tr>
      <w:tr w:rsidR="006A6D57" w:rsidRPr="00FB1012" w14:paraId="58AC630C" w14:textId="77777777" w:rsidTr="00BF6E55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77777777" w:rsidR="006A6D57" w:rsidRPr="00816E87" w:rsidRDefault="008F112A" w:rsidP="00E1292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粉末セルロース、アルファー化デンプン、デンプングリコール酸ナトリウム、トウモロコシデンプン、ステアリン酸マグネシウム、ヒプロメロース、酸化チタン、マクロゴール400、黄色三二酸化鉄、ポリソルベート80、カルナウバロウ</w:t>
            </w:r>
          </w:p>
        </w:tc>
        <w:tc>
          <w:tcPr>
            <w:tcW w:w="420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7628A4FA" w:rsidR="006A6D57" w:rsidRPr="00816E87" w:rsidRDefault="00867BFA" w:rsidP="00867BF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67BFA">
              <w:rPr>
                <w:rFonts w:ascii="ＭＳ ゴシック" w:eastAsia="ＭＳ ゴシック" w:hAnsi="ＭＳ ゴシック" w:hint="eastAsia"/>
                <w:sz w:val="20"/>
              </w:rPr>
              <w:t>粉末セルロース、アルファー化デンプン、デンプングリコール酸ナトリウム、トウモロコシデンプン、ステアリン酸マグネシウム、ヒプロメロース、酸化チタン、マクロゴール400、黄色三二酸化鉄、ポリソルベート80、カルナウバロウ</w:t>
            </w:r>
          </w:p>
        </w:tc>
      </w:tr>
      <w:tr w:rsidR="006A6D57" w:rsidRPr="00FB1012" w14:paraId="40825A0C" w14:textId="77777777" w:rsidTr="00020786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1344A56C" w:rsidR="00BC59CC" w:rsidRPr="00FB1012" w:rsidRDefault="00BC59CC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77777777" w:rsidR="006A6D57" w:rsidRPr="00816E87" w:rsidRDefault="004F6273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622A5FB9" w:rsidR="00BC59CC" w:rsidRPr="00816E87" w:rsidRDefault="00C11752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外箱及びラベルに表示（</w:t>
            </w:r>
            <w:r w:rsidR="00BC59CC" w:rsidRPr="00816E87"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1E838D6E" w14:textId="77777777" w:rsidR="006A6D57" w:rsidRPr="00816E87" w:rsidRDefault="00C33656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気密容器</w:t>
            </w:r>
            <w:r w:rsidR="00AF158C" w:rsidRPr="00816E87">
              <w:rPr>
                <w:rFonts w:ascii="ＭＳ ゴシック" w:eastAsia="ＭＳ ゴシック" w:hAnsi="ＭＳ ゴシック" w:hint="eastAsia"/>
                <w:sz w:val="20"/>
              </w:rPr>
              <w:t>、室温保存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77777777" w:rsidR="006A6D57" w:rsidRPr="00816E87" w:rsidRDefault="006E2991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6D3F1B03" w14:textId="77777777" w:rsidR="00F46C10" w:rsidRDefault="00F46C10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F46C10">
              <w:rPr>
                <w:rFonts w:ascii="ＭＳ ゴシック" w:eastAsia="ＭＳ ゴシック" w:hAnsi="ＭＳ ゴシック" w:hint="eastAsia"/>
                <w:sz w:val="20"/>
              </w:rPr>
              <w:t>36ヵ月</w:t>
            </w:r>
          </w:p>
          <w:p w14:paraId="61D4EC83" w14:textId="36942AEA" w:rsidR="006A6D57" w:rsidRPr="00816E87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E2F96" w:rsidRPr="00FB1012" w14:paraId="6D9C0712" w14:textId="77777777" w:rsidTr="008E4AEA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417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1701" w:type="dxa"/>
            <w:tcBorders>
              <w:top w:val="double" w:sz="12" w:space="0" w:color="000000"/>
            </w:tcBorders>
            <w:vAlign w:val="center"/>
          </w:tcPr>
          <w:p w14:paraId="1F68FE6E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276" w:type="dxa"/>
            <w:gridSpan w:val="2"/>
            <w:tcBorders>
              <w:top w:val="double" w:sz="12" w:space="0" w:color="000000"/>
            </w:tcBorders>
            <w:vAlign w:val="center"/>
          </w:tcPr>
          <w:p w14:paraId="19F57DFB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1134" w:type="dxa"/>
            <w:tcBorders>
              <w:top w:val="double" w:sz="12" w:space="0" w:color="000000"/>
            </w:tcBorders>
            <w:vAlign w:val="center"/>
          </w:tcPr>
          <w:p w14:paraId="79EECC9D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229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6E2F96" w:rsidRPr="00FB1012" w14:paraId="3E93CDAD" w14:textId="77777777" w:rsidTr="008E4AEA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6E2F96" w:rsidRPr="00816E8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5EF1811" w14:textId="77777777" w:rsidR="006E2F96" w:rsidRPr="00DF37E5" w:rsidRDefault="006E2F96" w:rsidP="00194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長径、短径（mm）</w:t>
            </w:r>
          </w:p>
        </w:tc>
        <w:tc>
          <w:tcPr>
            <w:tcW w:w="1276" w:type="dxa"/>
            <w:gridSpan w:val="2"/>
            <w:vAlign w:val="center"/>
          </w:tcPr>
          <w:p w14:paraId="507B219C" w14:textId="77777777" w:rsidR="006E2F96" w:rsidRPr="00DF37E5" w:rsidRDefault="006E2F96" w:rsidP="00194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重量（mg）</w:t>
            </w:r>
          </w:p>
        </w:tc>
        <w:tc>
          <w:tcPr>
            <w:tcW w:w="1134" w:type="dxa"/>
            <w:vAlign w:val="center"/>
          </w:tcPr>
          <w:p w14:paraId="1EC54AEB" w14:textId="77777777" w:rsidR="006E2F96" w:rsidRPr="00DF37E5" w:rsidRDefault="006E2F96" w:rsidP="00194750">
            <w:pPr>
              <w:snapToGrid w:val="0"/>
              <w:spacing w:line="240" w:lineRule="auto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厚さ（mm）</w:t>
            </w:r>
          </w:p>
        </w:tc>
        <w:tc>
          <w:tcPr>
            <w:tcW w:w="1701" w:type="dxa"/>
            <w:vMerge/>
            <w:vAlign w:val="center"/>
          </w:tcPr>
          <w:p w14:paraId="11D7ECC5" w14:textId="77777777" w:rsidR="006E2F96" w:rsidRPr="00816E87" w:rsidRDefault="006E2F96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9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6E2F96" w:rsidRPr="00816E87" w:rsidRDefault="006E2F96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2B6AEF1D" w14:textId="77777777" w:rsidTr="008E4AEA">
        <w:trPr>
          <w:cantSplit/>
          <w:trHeight w:val="5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6C343E0C" w14:textId="77777777" w:rsidR="006E2F96" w:rsidRPr="00372AC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2A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トアラセット</w:t>
            </w:r>
          </w:p>
          <w:p w14:paraId="2B3D4C0B" w14:textId="77777777" w:rsidR="006E2F96" w:rsidRPr="00372AC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2A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配合錠「三笠」</w:t>
            </w:r>
          </w:p>
        </w:tc>
        <w:tc>
          <w:tcPr>
            <w:tcW w:w="1701" w:type="dxa"/>
            <w:vAlign w:val="center"/>
          </w:tcPr>
          <w:p w14:paraId="699B1B3C" w14:textId="77777777" w:rsidR="006E2F96" w:rsidRPr="00816E87" w:rsidRDefault="006E2F96" w:rsidP="009E5F9C">
            <w:pPr>
              <w:widowControl/>
              <w:adjustRightInd/>
              <w:spacing w:line="240" w:lineRule="auto"/>
              <w:ind w:firstLineChars="150" w:firstLine="30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816E87"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63A31266" wp14:editId="0205C8C5">
                  <wp:extent cx="628153" cy="230505"/>
                  <wp:effectExtent l="0" t="0" r="635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667"/>
                          <a:stretch/>
                        </pic:blipFill>
                        <pic:spPr bwMode="auto">
                          <a:xfrm>
                            <a:off x="0" y="0"/>
                            <a:ext cx="629566" cy="23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7E70B372" w14:textId="77777777" w:rsidR="006E2F96" w:rsidRPr="00816E87" w:rsidRDefault="006E2F96" w:rsidP="00383C92">
            <w:pPr>
              <w:widowControl/>
              <w:adjustRightInd/>
              <w:spacing w:line="240" w:lineRule="auto"/>
              <w:ind w:firstLineChars="50" w:firstLine="100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32F3EEC1" wp14:editId="531B3D01">
                  <wp:extent cx="628153" cy="230505"/>
                  <wp:effectExtent l="0" t="0" r="635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667"/>
                          <a:stretch/>
                        </pic:blipFill>
                        <pic:spPr bwMode="auto">
                          <a:xfrm>
                            <a:off x="0" y="0"/>
                            <a:ext cx="629566" cy="23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4A116C6" w14:textId="77777777" w:rsidR="006E2F96" w:rsidRPr="00816E87" w:rsidRDefault="006E2F96" w:rsidP="00BF2082">
            <w:pPr>
              <w:snapToGrid w:val="0"/>
              <w:spacing w:line="240" w:lineRule="auto"/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57002681" wp14:editId="3BD20638">
                  <wp:extent cx="524510" cy="194945"/>
                  <wp:effectExtent l="0" t="0" r="8890" b="0"/>
                  <wp:docPr id="10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b="52017"/>
                          <a:stretch/>
                        </pic:blipFill>
                        <pic:spPr>
                          <a:xfrm>
                            <a:off x="0" y="0"/>
                            <a:ext cx="538523" cy="200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vAlign w:val="center"/>
          </w:tcPr>
          <w:p w14:paraId="00E54755" w14:textId="131A1FC8" w:rsidR="006E2F96" w:rsidRPr="00816E87" w:rsidRDefault="006E2F96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淡黄色のフィルムコーティング錠</w:t>
            </w:r>
          </w:p>
        </w:tc>
        <w:tc>
          <w:tcPr>
            <w:tcW w:w="1229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78CF45E8" w:rsidR="006E2F96" w:rsidRPr="00816E87" w:rsidRDefault="006E2F96" w:rsidP="00372AC7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トアラセット三笠</w:t>
            </w:r>
          </w:p>
        </w:tc>
      </w:tr>
      <w:tr w:rsidR="006E2F96" w:rsidRPr="00FB1012" w14:paraId="49FE7E52" w14:textId="77777777" w:rsidTr="008E4AEA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6E2F96" w:rsidRPr="00372AC7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A60BAE" w14:textId="77777777" w:rsidR="006E2F96" w:rsidRPr="00816E87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15.6、6.4</w:t>
            </w:r>
          </w:p>
        </w:tc>
        <w:tc>
          <w:tcPr>
            <w:tcW w:w="1276" w:type="dxa"/>
            <w:gridSpan w:val="2"/>
            <w:vAlign w:val="center"/>
          </w:tcPr>
          <w:p w14:paraId="771AFBB5" w14:textId="77777777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441</w:t>
            </w:r>
          </w:p>
        </w:tc>
        <w:tc>
          <w:tcPr>
            <w:tcW w:w="1134" w:type="dxa"/>
            <w:vAlign w:val="center"/>
          </w:tcPr>
          <w:p w14:paraId="6137455D" w14:textId="77777777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5.1</w:t>
            </w:r>
          </w:p>
        </w:tc>
        <w:tc>
          <w:tcPr>
            <w:tcW w:w="1701" w:type="dxa"/>
            <w:vMerge/>
            <w:vAlign w:val="center"/>
          </w:tcPr>
          <w:p w14:paraId="206CEF4E" w14:textId="77777777" w:rsidR="006E2F96" w:rsidRPr="00816E87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12DC20" w14:textId="77777777" w:rsidTr="008E4AEA">
        <w:trPr>
          <w:cantSplit/>
          <w:trHeight w:val="36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2E915D2B" w14:textId="77777777" w:rsidR="006E2F96" w:rsidRPr="00372AC7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2A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トラムセット</w:t>
            </w:r>
          </w:p>
          <w:p w14:paraId="19AFFD4F" w14:textId="77777777" w:rsidR="006E2F96" w:rsidRPr="00372AC7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2A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配合錠</w:t>
            </w:r>
          </w:p>
        </w:tc>
        <w:tc>
          <w:tcPr>
            <w:tcW w:w="1701" w:type="dxa"/>
            <w:vAlign w:val="center"/>
          </w:tcPr>
          <w:p w14:paraId="0F958C81" w14:textId="0D85EE75" w:rsidR="006E2F96" w:rsidRPr="00816E87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3BEB4E" w14:textId="38102932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0BF0340" w14:textId="2F7B0B5E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F2DAC06" w14:textId="7B48AF66" w:rsidR="006E2F96" w:rsidRPr="00816E87" w:rsidRDefault="006E2F96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淡黄色のフィルムコーティング錠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D61EF" w14:textId="40F2F291" w:rsidR="006E2F96" w:rsidRPr="00816E87" w:rsidRDefault="00867BFA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67BFA">
              <w:rPr>
                <w:rFonts w:ascii="ＭＳ ゴシック" w:eastAsia="ＭＳ ゴシック" w:hAnsi="ＭＳ ゴシック"/>
                <w:sz w:val="20"/>
              </w:rPr>
              <w:t xml:space="preserve">J-C 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 w:rsidRPr="00867BFA">
              <w:rPr>
                <w:rFonts w:ascii="ＭＳ ゴシック" w:eastAsia="ＭＳ ゴシック" w:hAnsi="ＭＳ ゴシック"/>
                <w:sz w:val="20"/>
              </w:rPr>
              <w:t>T/P</w:t>
            </w:r>
          </w:p>
        </w:tc>
      </w:tr>
      <w:tr w:rsidR="006E2F96" w:rsidRPr="00FB1012" w14:paraId="56B257A4" w14:textId="77777777" w:rsidTr="008E4AEA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6E2F96" w:rsidRPr="00F21C30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14:paraId="5550E6CE" w14:textId="07E594B1" w:rsidR="006E2F96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86171">
              <w:rPr>
                <w:rFonts w:ascii="ＭＳ ゴシック" w:eastAsia="ＭＳ ゴシック" w:hAnsi="ＭＳ ゴシック" w:hint="eastAsia"/>
                <w:sz w:val="20"/>
              </w:rPr>
              <w:t>15.</w:t>
            </w:r>
            <w:r w:rsidRPr="00386171">
              <w:rPr>
                <w:rFonts w:ascii="ＭＳ ゴシック" w:eastAsia="ＭＳ ゴシック" w:hAnsi="ＭＳ ゴシック"/>
                <w:sz w:val="20"/>
              </w:rPr>
              <w:t>5</w:t>
            </w:r>
            <w:r w:rsidRPr="00386171">
              <w:rPr>
                <w:rFonts w:ascii="ＭＳ ゴシック" w:eastAsia="ＭＳ ゴシック" w:hAnsi="ＭＳ ゴシック" w:hint="eastAsia"/>
                <w:sz w:val="20"/>
              </w:rPr>
              <w:t>、6.3</w:t>
            </w:r>
          </w:p>
        </w:tc>
        <w:tc>
          <w:tcPr>
            <w:tcW w:w="1276" w:type="dxa"/>
            <w:gridSpan w:val="2"/>
            <w:vAlign w:val="center"/>
          </w:tcPr>
          <w:p w14:paraId="1BB3428E" w14:textId="2E7ACCD1" w:rsidR="006E2F96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441</w:t>
            </w:r>
          </w:p>
        </w:tc>
        <w:tc>
          <w:tcPr>
            <w:tcW w:w="1134" w:type="dxa"/>
            <w:tcBorders>
              <w:bottom w:val="double" w:sz="12" w:space="0" w:color="auto"/>
            </w:tcBorders>
            <w:vAlign w:val="center"/>
          </w:tcPr>
          <w:p w14:paraId="470D13A2" w14:textId="615FB3A1" w:rsidR="006E2F96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5.5</w:t>
            </w:r>
          </w:p>
        </w:tc>
        <w:tc>
          <w:tcPr>
            <w:tcW w:w="1701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6E2F96" w:rsidRPr="00460B62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6E2F96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DF37E5">
        <w:trPr>
          <w:trHeight w:val="3742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52" w:type="dxa"/>
            <w:gridSpan w:val="3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7AA8D522" w14:textId="5DC1567D" w:rsidR="00FD3D9D" w:rsidRDefault="002938E4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3A056600" w14:textId="77777777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4566A4" wp14:editId="187F6252">
                      <wp:simplePos x="0" y="0"/>
                      <wp:positionH relativeFrom="column">
                        <wp:posOffset>675447</wp:posOffset>
                      </wp:positionH>
                      <wp:positionV relativeFrom="paragraph">
                        <wp:posOffset>115349</wp:posOffset>
                      </wp:positionV>
                      <wp:extent cx="691515" cy="174377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515" cy="1743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33485" id="正方形/長方形 6" o:spid="_x0000_s1026" style="position:absolute;left:0;text-align:left;margin-left:53.2pt;margin-top:9.1pt;width:54.45pt;height:13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" fillcolor="white [3212]" stroked="f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anchor distT="0" distB="0" distL="114300" distR="114300" simplePos="0" relativeHeight="251687936" behindDoc="0" locked="0" layoutInCell="1" allowOverlap="1" wp14:anchorId="69EB94DE" wp14:editId="0DBAF885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103174</wp:posOffset>
                  </wp:positionV>
                  <wp:extent cx="1831975" cy="1259205"/>
                  <wp:effectExtent l="0" t="0" r="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    </w:t>
            </w:r>
            <w:r w:rsidRPr="00790B94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＜トラマドール塩酸塩＞</w:t>
            </w:r>
          </w:p>
          <w:p w14:paraId="7C26D029" w14:textId="77777777" w:rsidR="00FD3D9D" w:rsidRPr="00BC3856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80C9DA4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7089A63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0177A8B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FC4F146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168EEE9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1A22A60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5407486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4C315BE" w14:textId="77777777" w:rsidR="00FD3D9D" w:rsidRDefault="00FD3D9D" w:rsidP="00FD3D9D">
            <w:pPr>
              <w:spacing w:line="240" w:lineRule="auto"/>
              <w:ind w:firstLineChars="700" w:firstLine="98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90B9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＜アセトアミノフェン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＞</w:t>
            </w:r>
          </w:p>
          <w:p w14:paraId="6B25E46D" w14:textId="77777777" w:rsidR="00FD3D9D" w:rsidRDefault="00FD3D9D" w:rsidP="00FD3D9D">
            <w:pPr>
              <w:spacing w:line="240" w:lineRule="auto"/>
              <w:ind w:firstLineChars="400" w:firstLine="80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DCC10F" wp14:editId="27E745E0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75371</wp:posOffset>
                      </wp:positionV>
                      <wp:extent cx="643255" cy="102870"/>
                      <wp:effectExtent l="0" t="0" r="4445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255" cy="102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0FEBE" id="正方形/長方形 11" o:spid="_x0000_s1026" style="position:absolute;left:0;text-align:left;margin-left:56.9pt;margin-top:5.95pt;width:50.65pt;height: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" fillcolor="white [3212]" stroked="f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anchor distT="0" distB="0" distL="114300" distR="114300" simplePos="0" relativeHeight="251683840" behindDoc="0" locked="0" layoutInCell="1" allowOverlap="1" wp14:anchorId="6E706BA7" wp14:editId="69DED83B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1905</wp:posOffset>
                  </wp:positionV>
                  <wp:extent cx="1830705" cy="1189355"/>
                  <wp:effectExtent l="0" t="0" r="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705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27B9119A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1E4F8EC" w14:textId="732FBDFE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82E1D26" w14:textId="37E06F1E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2C21031D" w14:textId="34D6D5EA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98144E2" w14:textId="37542CD4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F3C414F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5A237D0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B43DE4F" w14:textId="0EC0C0EC" w:rsidR="00FD3D9D" w:rsidRDefault="00FD3D9D" w:rsidP="00FD3D9D">
            <w:pPr>
              <w:spacing w:line="240" w:lineRule="auto"/>
              <w:ind w:firstLineChars="400" w:firstLine="80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0F0E80" wp14:editId="5610185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154940</wp:posOffset>
                      </wp:positionV>
                      <wp:extent cx="2743200" cy="564515"/>
                      <wp:effectExtent l="0" t="0" r="0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564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1A1559" w14:textId="77777777" w:rsidR="00FD3D9D" w:rsidRDefault="00FD3D9D" w:rsidP="007E156C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2B1B872" w14:textId="77777777" w:rsidR="00FD3D9D" w:rsidRPr="0042610B" w:rsidRDefault="00FD3D9D" w:rsidP="007E156C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42610B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「後発医薬品の生物学的同等性試験ガイドライン」に従った本剤と標準製剤の生物学的同等性試験の結果、両製剤は生物学的に同等と確認された。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F0E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35pt;margin-top:12.2pt;width:3in;height:4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" filled="f" stroked="f" strokeweight=".5pt">
                      <v:textbox>
                        <w:txbxContent>
                          <w:p w14:paraId="1B1A1559" w14:textId="77777777" w:rsidR="00FD3D9D" w:rsidRDefault="00FD3D9D" w:rsidP="007E156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14:paraId="52B1B872" w14:textId="77777777" w:rsidR="00FD3D9D" w:rsidRPr="0042610B" w:rsidRDefault="00FD3D9D" w:rsidP="007E156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2610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「後発医薬品の生物学的同等性試験ガイドライン」に従った本剤と標準製剤の生物学的同等性試験の結果、両製剤は生物学的に同等と確認された。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B45BEF" w14:textId="612A0D4F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337B47E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B14295A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F834AE4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ADD0DED" w14:textId="77777777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06" w:type="dxa"/>
            <w:gridSpan w:val="4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3D6C3C1A" w14:textId="5B33CFA1" w:rsidR="00FD3D9D" w:rsidRDefault="002938E4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溶出試験（試験液：pH</w:t>
            </w:r>
            <w:r w:rsidR="00FD3D9D" w:rsidRPr="00E260F0">
              <w:rPr>
                <w:rFonts w:ascii="ＭＳ ゴシック" w:eastAsia="ＭＳ ゴシック" w:hAnsi="ＭＳ ゴシック"/>
                <w:sz w:val="18"/>
                <w:szCs w:val="18"/>
              </w:rPr>
              <w:t>1.2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FD3D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.0、6.8、水）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7C4A86C9" w14:textId="17D75A0F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  </w:t>
            </w:r>
            <w:r w:rsidRPr="00790B94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＜トラマドール塩酸塩＞</w:t>
            </w:r>
          </w:p>
          <w:p w14:paraId="5221C8F3" w14:textId="3BA6A05B" w:rsidR="00FD3D9D" w:rsidRDefault="0069390B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2DBD93D6" wp14:editId="0059D01D">
                  <wp:simplePos x="0" y="0"/>
                  <wp:positionH relativeFrom="column">
                    <wp:posOffset>346599</wp:posOffset>
                  </wp:positionH>
                  <wp:positionV relativeFrom="paragraph">
                    <wp:posOffset>46851</wp:posOffset>
                  </wp:positionV>
                  <wp:extent cx="1849755" cy="1202055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75" t="62709" r="43203" b="4682"/>
                          <a:stretch/>
                        </pic:blipFill>
                        <pic:spPr bwMode="auto">
                          <a:xfrm>
                            <a:off x="0" y="0"/>
                            <a:ext cx="1849755" cy="1202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26FCE6" w14:textId="7B699FB9" w:rsidR="00FD3D9D" w:rsidRPr="002E6A96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3C0EF99" w14:textId="595477CB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BB4BE16" w14:textId="3703FAFB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6FED356B" w14:textId="3562BEA0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A274B7E" w14:textId="4A5CA325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0882A44" w14:textId="7D9E78C3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12CA5889" w14:textId="69C0D344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2E5868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F055F2" wp14:editId="3084C385">
                      <wp:simplePos x="0" y="0"/>
                      <wp:positionH relativeFrom="column">
                        <wp:posOffset>279207</wp:posOffset>
                      </wp:positionH>
                      <wp:positionV relativeFrom="paragraph">
                        <wp:posOffset>151765</wp:posOffset>
                      </wp:positionV>
                      <wp:extent cx="1684710" cy="238539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710" cy="2385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8DE1B48" w14:textId="77777777" w:rsidR="00FD3D9D" w:rsidRPr="002E5868" w:rsidRDefault="00FD3D9D" w:rsidP="002E5868">
                                  <w:pPr>
                                    <w:spacing w:line="240" w:lineRule="auto"/>
                                    <w:ind w:firstLineChars="500" w:firstLine="700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790B94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＜アセトアミノフェン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055F2" id="テキスト ボックス 18" o:spid="_x0000_s1027" type="#_x0000_t202" style="position:absolute;left:0;text-align:left;margin-left:22pt;margin-top:11.95pt;width:132.65pt;height:1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" filled="f" stroked="f" strokeweight=".5pt">
                      <v:textbox>
                        <w:txbxContent>
                          <w:p w14:paraId="18DE1B48" w14:textId="77777777" w:rsidR="00FD3D9D" w:rsidRPr="002E5868" w:rsidRDefault="00FD3D9D" w:rsidP="002E5868">
                            <w:pPr>
                              <w:spacing w:line="240" w:lineRule="auto"/>
                              <w:ind w:firstLineChars="500" w:firstLine="700"/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</w:pPr>
                            <w:r w:rsidRPr="00790B94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＜アセトアミノフェン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B32D79" w14:textId="58E64A78" w:rsidR="00FD3D9D" w:rsidRPr="00020786" w:rsidRDefault="00B3496A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2F1C6B3E" wp14:editId="2AB69607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136525</wp:posOffset>
                  </wp:positionV>
                  <wp:extent cx="1750695" cy="1198880"/>
                  <wp:effectExtent l="0" t="0" r="1905" b="1270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2" t="32922" r="40028" b="23495"/>
                          <a:stretch/>
                        </pic:blipFill>
                        <pic:spPr bwMode="auto">
                          <a:xfrm>
                            <a:off x="0" y="0"/>
                            <a:ext cx="1750695" cy="119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3D9D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E4FA21" wp14:editId="1EFFDB9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1334770</wp:posOffset>
                      </wp:positionV>
                      <wp:extent cx="258381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E9595E" w14:textId="77777777" w:rsidR="00FD3D9D" w:rsidRPr="0042610B" w:rsidRDefault="00FD3D9D" w:rsidP="0042610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42610B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「後発医薬品の生物学的同等性試験ガイドライン」に従い溶出試験を実施した結果、両製剤の溶出挙動の類似性が確認された。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4FA21" id="テキスト ボックス 2" o:spid="_x0000_s1028" type="#_x0000_t202" style="position:absolute;left:0;text-align:left;margin-left:-1.85pt;margin-top:105.1pt;width:203.4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" filled="f" stroked="f" strokeweight=".5pt">
                      <v:textbox>
                        <w:txbxContent>
                          <w:p w14:paraId="16E9595E" w14:textId="77777777" w:rsidR="00FD3D9D" w:rsidRPr="0042610B" w:rsidRDefault="00FD3D9D" w:rsidP="004261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2610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「後発医薬品の生物学的同等性試験ガイドライン」に従い溶出試験を実施した結果、両製剤の溶出挙動の類似性が確認された。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D9D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FD3D9D" w:rsidRPr="00DC04F1">
              <w:rPr>
                <w:rFonts w:ascii="ＭＳ ゴシック" w:eastAsia="ＭＳ ゴシック" w:hAnsi="ＭＳ ゴシック" w:hint="eastAsia"/>
                <w:sz w:val="20"/>
              </w:rPr>
              <w:t xml:space="preserve">　　　　　   </w:t>
            </w: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5878C8C6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371829">
      <w:headerReference w:type="default" r:id="rId14"/>
      <w:footerReference w:type="even" r:id="rId15"/>
      <w:type w:val="continuous"/>
      <w:pgSz w:w="11907" w:h="16840" w:code="9"/>
      <w:pgMar w:top="567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2367" w14:textId="77777777" w:rsidR="00A44306" w:rsidRDefault="00A44306">
      <w:r>
        <w:separator/>
      </w:r>
    </w:p>
  </w:endnote>
  <w:endnote w:type="continuationSeparator" w:id="0">
    <w:p w14:paraId="44AB034D" w14:textId="77777777" w:rsidR="00A44306" w:rsidRDefault="00A4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93D1" w14:textId="77777777" w:rsidR="00A44306" w:rsidRDefault="00A44306">
      <w:r>
        <w:separator/>
      </w:r>
    </w:p>
  </w:footnote>
  <w:footnote w:type="continuationSeparator" w:id="0">
    <w:p w14:paraId="18D1305D" w14:textId="77777777" w:rsidR="00A44306" w:rsidRDefault="00A44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998C" w14:textId="57FB2E1E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1F717F">
      <w:rPr>
        <w:rFonts w:ascii="ＭＳ ゴシック" w:eastAsia="ＭＳ ゴシック" w:hAnsi="ＭＳ ゴシック" w:hint="eastAsia"/>
        <w:sz w:val="22"/>
      </w:rPr>
      <w:t>2</w:t>
    </w:r>
    <w:r w:rsidR="00FF438F">
      <w:rPr>
        <w:rFonts w:ascii="ＭＳ ゴシック" w:eastAsia="ＭＳ ゴシック" w:hAnsi="ＭＳ ゴシック" w:hint="eastAsia"/>
        <w:sz w:val="22"/>
      </w:rPr>
      <w:t>2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083E00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20786"/>
    <w:rsid w:val="00021486"/>
    <w:rsid w:val="000243EF"/>
    <w:rsid w:val="000247F4"/>
    <w:rsid w:val="00027AAC"/>
    <w:rsid w:val="00033D66"/>
    <w:rsid w:val="000361C6"/>
    <w:rsid w:val="000373BB"/>
    <w:rsid w:val="00046185"/>
    <w:rsid w:val="00047E39"/>
    <w:rsid w:val="000565CD"/>
    <w:rsid w:val="00060A59"/>
    <w:rsid w:val="00061368"/>
    <w:rsid w:val="00070E12"/>
    <w:rsid w:val="00075477"/>
    <w:rsid w:val="00077F06"/>
    <w:rsid w:val="00083E00"/>
    <w:rsid w:val="00090CD2"/>
    <w:rsid w:val="000A1DD5"/>
    <w:rsid w:val="000A56F7"/>
    <w:rsid w:val="000A6903"/>
    <w:rsid w:val="000C484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61C2"/>
    <w:rsid w:val="00125746"/>
    <w:rsid w:val="00126BC2"/>
    <w:rsid w:val="00127707"/>
    <w:rsid w:val="00137FAF"/>
    <w:rsid w:val="00141C1E"/>
    <w:rsid w:val="001558DA"/>
    <w:rsid w:val="00156CDB"/>
    <w:rsid w:val="00160CA0"/>
    <w:rsid w:val="0017481E"/>
    <w:rsid w:val="00176C52"/>
    <w:rsid w:val="00184076"/>
    <w:rsid w:val="00185968"/>
    <w:rsid w:val="00190531"/>
    <w:rsid w:val="00191B45"/>
    <w:rsid w:val="00194750"/>
    <w:rsid w:val="00195A8A"/>
    <w:rsid w:val="0019675E"/>
    <w:rsid w:val="00196F68"/>
    <w:rsid w:val="001A39AC"/>
    <w:rsid w:val="001A7BA5"/>
    <w:rsid w:val="001B1908"/>
    <w:rsid w:val="001B3DBA"/>
    <w:rsid w:val="001B5AD5"/>
    <w:rsid w:val="001C04BE"/>
    <w:rsid w:val="001C4DF5"/>
    <w:rsid w:val="001C6D91"/>
    <w:rsid w:val="001D2270"/>
    <w:rsid w:val="001E0359"/>
    <w:rsid w:val="001E74EB"/>
    <w:rsid w:val="001F2639"/>
    <w:rsid w:val="001F3584"/>
    <w:rsid w:val="001F402B"/>
    <w:rsid w:val="001F717F"/>
    <w:rsid w:val="00200A0E"/>
    <w:rsid w:val="00207411"/>
    <w:rsid w:val="00207B78"/>
    <w:rsid w:val="002236D9"/>
    <w:rsid w:val="00227015"/>
    <w:rsid w:val="0023346F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7255"/>
    <w:rsid w:val="00292B44"/>
    <w:rsid w:val="002938E4"/>
    <w:rsid w:val="002A50CB"/>
    <w:rsid w:val="002B1F9D"/>
    <w:rsid w:val="002B5039"/>
    <w:rsid w:val="002B6A8B"/>
    <w:rsid w:val="002B796E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44F2"/>
    <w:rsid w:val="00307DF7"/>
    <w:rsid w:val="0031398E"/>
    <w:rsid w:val="003209DF"/>
    <w:rsid w:val="00322394"/>
    <w:rsid w:val="0032373B"/>
    <w:rsid w:val="00326660"/>
    <w:rsid w:val="003427BE"/>
    <w:rsid w:val="003575BF"/>
    <w:rsid w:val="00363214"/>
    <w:rsid w:val="00371829"/>
    <w:rsid w:val="00372AC7"/>
    <w:rsid w:val="0037379E"/>
    <w:rsid w:val="0038201F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5695"/>
    <w:rsid w:val="003969A3"/>
    <w:rsid w:val="00397CFE"/>
    <w:rsid w:val="003B4B3B"/>
    <w:rsid w:val="003C7A11"/>
    <w:rsid w:val="003E3018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30B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90283"/>
    <w:rsid w:val="00490331"/>
    <w:rsid w:val="004A1B56"/>
    <w:rsid w:val="004C1CA4"/>
    <w:rsid w:val="004C361A"/>
    <w:rsid w:val="004D024C"/>
    <w:rsid w:val="004D5BE5"/>
    <w:rsid w:val="004F4375"/>
    <w:rsid w:val="004F6273"/>
    <w:rsid w:val="004F7F3E"/>
    <w:rsid w:val="00500412"/>
    <w:rsid w:val="0050158A"/>
    <w:rsid w:val="0050700F"/>
    <w:rsid w:val="00512C36"/>
    <w:rsid w:val="00513C37"/>
    <w:rsid w:val="00513E2C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2540"/>
    <w:rsid w:val="005C2816"/>
    <w:rsid w:val="005C3176"/>
    <w:rsid w:val="005C6175"/>
    <w:rsid w:val="005D4305"/>
    <w:rsid w:val="005E5CE8"/>
    <w:rsid w:val="005F6A42"/>
    <w:rsid w:val="00607D57"/>
    <w:rsid w:val="00613E4B"/>
    <w:rsid w:val="006272B7"/>
    <w:rsid w:val="00633B18"/>
    <w:rsid w:val="0063798B"/>
    <w:rsid w:val="006521C0"/>
    <w:rsid w:val="00654AFE"/>
    <w:rsid w:val="00662DB3"/>
    <w:rsid w:val="00663ACD"/>
    <w:rsid w:val="00663BAA"/>
    <w:rsid w:val="00663E06"/>
    <w:rsid w:val="00666780"/>
    <w:rsid w:val="00674BFE"/>
    <w:rsid w:val="00677D5C"/>
    <w:rsid w:val="006859C8"/>
    <w:rsid w:val="00690089"/>
    <w:rsid w:val="0069390B"/>
    <w:rsid w:val="006A15A3"/>
    <w:rsid w:val="006A6D57"/>
    <w:rsid w:val="006B074B"/>
    <w:rsid w:val="006B4CAF"/>
    <w:rsid w:val="006C0A4E"/>
    <w:rsid w:val="006C5127"/>
    <w:rsid w:val="006D7166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14FA7"/>
    <w:rsid w:val="00720EAB"/>
    <w:rsid w:val="00722F70"/>
    <w:rsid w:val="007248FA"/>
    <w:rsid w:val="00731349"/>
    <w:rsid w:val="00732688"/>
    <w:rsid w:val="007343AB"/>
    <w:rsid w:val="007351FF"/>
    <w:rsid w:val="007475DD"/>
    <w:rsid w:val="007549D0"/>
    <w:rsid w:val="00755D11"/>
    <w:rsid w:val="00757D97"/>
    <w:rsid w:val="00765EB1"/>
    <w:rsid w:val="00771BA3"/>
    <w:rsid w:val="007811AE"/>
    <w:rsid w:val="00781994"/>
    <w:rsid w:val="007839E1"/>
    <w:rsid w:val="00785C40"/>
    <w:rsid w:val="00790B94"/>
    <w:rsid w:val="007967C1"/>
    <w:rsid w:val="007A4040"/>
    <w:rsid w:val="007A5D01"/>
    <w:rsid w:val="007B27CF"/>
    <w:rsid w:val="007B7986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800957"/>
    <w:rsid w:val="0081633A"/>
    <w:rsid w:val="00816645"/>
    <w:rsid w:val="00816E87"/>
    <w:rsid w:val="0082192B"/>
    <w:rsid w:val="00821B27"/>
    <w:rsid w:val="00833E0F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67BFA"/>
    <w:rsid w:val="0087412B"/>
    <w:rsid w:val="00880FEC"/>
    <w:rsid w:val="00882947"/>
    <w:rsid w:val="00892518"/>
    <w:rsid w:val="008A171D"/>
    <w:rsid w:val="008A7BCB"/>
    <w:rsid w:val="008B0A0B"/>
    <w:rsid w:val="008B12A5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903287"/>
    <w:rsid w:val="009059BC"/>
    <w:rsid w:val="00905C75"/>
    <w:rsid w:val="009066B0"/>
    <w:rsid w:val="00912980"/>
    <w:rsid w:val="00917048"/>
    <w:rsid w:val="009233BC"/>
    <w:rsid w:val="00923559"/>
    <w:rsid w:val="00933F0D"/>
    <w:rsid w:val="009368FD"/>
    <w:rsid w:val="00937914"/>
    <w:rsid w:val="009424E8"/>
    <w:rsid w:val="00947F89"/>
    <w:rsid w:val="0095013E"/>
    <w:rsid w:val="00955513"/>
    <w:rsid w:val="009607D7"/>
    <w:rsid w:val="009755D9"/>
    <w:rsid w:val="00981CD0"/>
    <w:rsid w:val="00993714"/>
    <w:rsid w:val="009A57C4"/>
    <w:rsid w:val="009A6B40"/>
    <w:rsid w:val="009A6E19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5F49"/>
    <w:rsid w:val="00A0022E"/>
    <w:rsid w:val="00A00AB0"/>
    <w:rsid w:val="00A0134E"/>
    <w:rsid w:val="00A101DF"/>
    <w:rsid w:val="00A119EB"/>
    <w:rsid w:val="00A13FA8"/>
    <w:rsid w:val="00A2227D"/>
    <w:rsid w:val="00A35DEC"/>
    <w:rsid w:val="00A41D4D"/>
    <w:rsid w:val="00A425AF"/>
    <w:rsid w:val="00A442E0"/>
    <w:rsid w:val="00A44306"/>
    <w:rsid w:val="00A50BCE"/>
    <w:rsid w:val="00A53050"/>
    <w:rsid w:val="00A53283"/>
    <w:rsid w:val="00A55DED"/>
    <w:rsid w:val="00A72324"/>
    <w:rsid w:val="00A85C73"/>
    <w:rsid w:val="00A8685E"/>
    <w:rsid w:val="00A940BE"/>
    <w:rsid w:val="00AA3367"/>
    <w:rsid w:val="00AA3882"/>
    <w:rsid w:val="00AB097F"/>
    <w:rsid w:val="00AB20E9"/>
    <w:rsid w:val="00AC4A54"/>
    <w:rsid w:val="00AC509C"/>
    <w:rsid w:val="00AC62D1"/>
    <w:rsid w:val="00AC7A23"/>
    <w:rsid w:val="00AD4F46"/>
    <w:rsid w:val="00AD52BE"/>
    <w:rsid w:val="00AD57E1"/>
    <w:rsid w:val="00AE0D3E"/>
    <w:rsid w:val="00AE2D88"/>
    <w:rsid w:val="00AE3532"/>
    <w:rsid w:val="00AE686E"/>
    <w:rsid w:val="00AF158C"/>
    <w:rsid w:val="00AF627F"/>
    <w:rsid w:val="00B07D9C"/>
    <w:rsid w:val="00B07E93"/>
    <w:rsid w:val="00B129DE"/>
    <w:rsid w:val="00B14A51"/>
    <w:rsid w:val="00B21FB2"/>
    <w:rsid w:val="00B303A6"/>
    <w:rsid w:val="00B330CF"/>
    <w:rsid w:val="00B3496A"/>
    <w:rsid w:val="00B35812"/>
    <w:rsid w:val="00B37F2B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1752"/>
    <w:rsid w:val="00C136E4"/>
    <w:rsid w:val="00C15EC0"/>
    <w:rsid w:val="00C20DC9"/>
    <w:rsid w:val="00C23051"/>
    <w:rsid w:val="00C24EBB"/>
    <w:rsid w:val="00C333A5"/>
    <w:rsid w:val="00C33656"/>
    <w:rsid w:val="00C34B2B"/>
    <w:rsid w:val="00C3657C"/>
    <w:rsid w:val="00C41029"/>
    <w:rsid w:val="00C53547"/>
    <w:rsid w:val="00C55FEE"/>
    <w:rsid w:val="00C64160"/>
    <w:rsid w:val="00C641F6"/>
    <w:rsid w:val="00C72B07"/>
    <w:rsid w:val="00C753D5"/>
    <w:rsid w:val="00C76BAC"/>
    <w:rsid w:val="00C80000"/>
    <w:rsid w:val="00C92BA3"/>
    <w:rsid w:val="00C9413F"/>
    <w:rsid w:val="00C9582B"/>
    <w:rsid w:val="00CA5C79"/>
    <w:rsid w:val="00CB155C"/>
    <w:rsid w:val="00CB3ACD"/>
    <w:rsid w:val="00CB7B9E"/>
    <w:rsid w:val="00CC58A0"/>
    <w:rsid w:val="00CE297A"/>
    <w:rsid w:val="00CE44E4"/>
    <w:rsid w:val="00CE4672"/>
    <w:rsid w:val="00CE5D49"/>
    <w:rsid w:val="00CE77E4"/>
    <w:rsid w:val="00CF685B"/>
    <w:rsid w:val="00D025BD"/>
    <w:rsid w:val="00D07065"/>
    <w:rsid w:val="00D268F3"/>
    <w:rsid w:val="00D31170"/>
    <w:rsid w:val="00D37EA9"/>
    <w:rsid w:val="00D435C6"/>
    <w:rsid w:val="00D47D3E"/>
    <w:rsid w:val="00D5244A"/>
    <w:rsid w:val="00D5300E"/>
    <w:rsid w:val="00D5308E"/>
    <w:rsid w:val="00D55B02"/>
    <w:rsid w:val="00D565ED"/>
    <w:rsid w:val="00D601FB"/>
    <w:rsid w:val="00D636A1"/>
    <w:rsid w:val="00D76C18"/>
    <w:rsid w:val="00D77317"/>
    <w:rsid w:val="00D91984"/>
    <w:rsid w:val="00D93A12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7405"/>
    <w:rsid w:val="00E06A49"/>
    <w:rsid w:val="00E10CA5"/>
    <w:rsid w:val="00E12920"/>
    <w:rsid w:val="00E22D77"/>
    <w:rsid w:val="00E260F0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F7E6D"/>
    <w:rsid w:val="00F00914"/>
    <w:rsid w:val="00F00C62"/>
    <w:rsid w:val="00F12F7E"/>
    <w:rsid w:val="00F13B8B"/>
    <w:rsid w:val="00F21C30"/>
    <w:rsid w:val="00F24297"/>
    <w:rsid w:val="00F35C7D"/>
    <w:rsid w:val="00F44F8F"/>
    <w:rsid w:val="00F454A2"/>
    <w:rsid w:val="00F467F7"/>
    <w:rsid w:val="00F46C10"/>
    <w:rsid w:val="00F50B32"/>
    <w:rsid w:val="00F55AE2"/>
    <w:rsid w:val="00F60A55"/>
    <w:rsid w:val="00F66407"/>
    <w:rsid w:val="00F710C2"/>
    <w:rsid w:val="00F755BC"/>
    <w:rsid w:val="00F75D60"/>
    <w:rsid w:val="00F803D9"/>
    <w:rsid w:val="00F807F4"/>
    <w:rsid w:val="00F8194A"/>
    <w:rsid w:val="00F86A0A"/>
    <w:rsid w:val="00F972EA"/>
    <w:rsid w:val="00F9798B"/>
    <w:rsid w:val="00FA254A"/>
    <w:rsid w:val="00FA3CC6"/>
    <w:rsid w:val="00FA3E38"/>
    <w:rsid w:val="00FA5DF2"/>
    <w:rsid w:val="00FB1012"/>
    <w:rsid w:val="00FB17A6"/>
    <w:rsid w:val="00FB27AB"/>
    <w:rsid w:val="00FB4077"/>
    <w:rsid w:val="00FB757D"/>
    <w:rsid w:val="00FC33E5"/>
    <w:rsid w:val="00FD00A7"/>
    <w:rsid w:val="00FD3D9D"/>
    <w:rsid w:val="00FD7999"/>
    <w:rsid w:val="00FE235F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FF438F"/>
    <w:rPr>
      <w:sz w:val="18"/>
      <w:szCs w:val="18"/>
    </w:rPr>
  </w:style>
  <w:style w:type="paragraph" w:styleId="af6">
    <w:name w:val="annotation text"/>
    <w:basedOn w:val="a"/>
    <w:link w:val="af7"/>
    <w:rsid w:val="00FF438F"/>
    <w:pPr>
      <w:jc w:val="left"/>
    </w:pPr>
  </w:style>
  <w:style w:type="character" w:customStyle="1" w:styleId="af7">
    <w:name w:val="コメント文字列 (文字)"/>
    <w:basedOn w:val="a0"/>
    <w:link w:val="af6"/>
    <w:rsid w:val="00FF438F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FF438F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FF438F"/>
    <w:rPr>
      <w:rFonts w:asci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108ED-531F-489A-BA29-FA483F8C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881</Words>
  <Characters>253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DHO061</cp:lastModifiedBy>
  <cp:revision>117</cp:revision>
  <cp:lastPrinted>2022-03-10T01:12:00Z</cp:lastPrinted>
  <dcterms:created xsi:type="dcterms:W3CDTF">2018-08-06T00:36:00Z</dcterms:created>
  <dcterms:modified xsi:type="dcterms:W3CDTF">2022-03-10T01:14:00Z</dcterms:modified>
</cp:coreProperties>
</file>