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8479" w14:textId="77777777" w:rsidR="00005991" w:rsidRPr="00FB1012" w:rsidRDefault="000639F2" w:rsidP="00005991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005991">
        <w:rPr>
          <w:rFonts w:ascii="ＭＳ ゴシック" w:eastAsia="ＭＳ ゴシック" w:hAnsi="ＭＳ ゴシック"/>
          <w:b/>
          <w:szCs w:val="24"/>
        </w:rPr>
        <w:t>(</w:t>
      </w:r>
      <w:r w:rsidR="00005991">
        <w:rPr>
          <w:rFonts w:ascii="ＭＳ ゴシック" w:eastAsia="ＭＳ ゴシック" w:hAnsi="ＭＳ ゴシック" w:hint="eastAsia"/>
          <w:b/>
          <w:szCs w:val="24"/>
        </w:rPr>
        <w:t>案</w:t>
      </w:r>
      <w:r w:rsidR="00005991">
        <w:rPr>
          <w:rFonts w:ascii="ＭＳ ゴシック" w:eastAsia="ＭＳ ゴシック" w:hAnsi="ＭＳ ゴシック"/>
          <w:b/>
          <w:szCs w:val="24"/>
        </w:rPr>
        <w:t>)</w:t>
      </w:r>
    </w:p>
    <w:tbl>
      <w:tblPr>
        <w:tblW w:w="1105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2124"/>
        <w:gridCol w:w="1772"/>
        <w:gridCol w:w="854"/>
        <w:gridCol w:w="920"/>
        <w:gridCol w:w="2552"/>
        <w:gridCol w:w="1279"/>
      </w:tblGrid>
      <w:tr w:rsidR="000639F2" w:rsidRPr="00FB1012" w14:paraId="18E0731A" w14:textId="77777777" w:rsidTr="00C502EF">
        <w:trPr>
          <w:trHeight w:val="229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6F2F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B2F15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75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1CF7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0DA42BFD" w14:textId="77777777" w:rsidTr="00C502EF">
        <w:trPr>
          <w:trHeight w:val="29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C7DB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75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60BEE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7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89B9A8" w14:textId="4649172E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2DB06E67" w14:textId="77777777" w:rsidTr="00C502EF">
        <w:trPr>
          <w:trHeight w:val="150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8471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750" w:type="dxa"/>
            <w:gridSpan w:val="3"/>
            <w:tcBorders>
              <w:left w:val="single" w:sz="18" w:space="0" w:color="auto"/>
            </w:tcBorders>
            <w:vAlign w:val="center"/>
          </w:tcPr>
          <w:p w14:paraId="000C8126" w14:textId="17B51470" w:rsidR="000639F2" w:rsidRPr="00FB1012" w:rsidRDefault="002D6963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フェルビナクテープ70mg「三笠」</w:t>
            </w:r>
          </w:p>
        </w:tc>
        <w:tc>
          <w:tcPr>
            <w:tcW w:w="4751" w:type="dxa"/>
            <w:gridSpan w:val="3"/>
            <w:tcBorders>
              <w:right w:val="single" w:sz="18" w:space="0" w:color="auto"/>
            </w:tcBorders>
            <w:vAlign w:val="center"/>
          </w:tcPr>
          <w:p w14:paraId="7AC3340A" w14:textId="77777777" w:rsidR="000639F2" w:rsidRPr="00FB1012" w:rsidRDefault="00005991" w:rsidP="00005991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</w:tr>
      <w:tr w:rsidR="000639F2" w:rsidRPr="00FB1012" w14:paraId="6DA4A740" w14:textId="77777777" w:rsidTr="00C502EF">
        <w:trPr>
          <w:trHeight w:val="128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8835F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501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B28AF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687265" w:rsidRPr="00FB1012" w14:paraId="4C0CEE00" w14:textId="77777777" w:rsidTr="00C502EF">
        <w:trPr>
          <w:trHeight w:val="275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B12EBF" w14:textId="77777777" w:rsidR="00687265" w:rsidRPr="00FB1012" w:rsidRDefault="00687265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75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5B2FD4" w14:textId="2FC528C8" w:rsidR="00355C8A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1枚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 w:rsidR="001912E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 w:rsidR="001912E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1.4g</w:t>
            </w:r>
            <w:r w:rsidR="00355C8A">
              <w:rPr>
                <w:rFonts w:ascii="ＭＳ ゴシック" w:eastAsia="ＭＳ ゴシック" w:hAnsi="ＭＳ ゴシック" w:hint="eastAsia"/>
                <w:sz w:val="20"/>
              </w:rPr>
              <w:t>）中</w:t>
            </w:r>
            <w:r w:rsidR="007610A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2D4694B6" w14:textId="77777777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日本薬局方フェルビナク</w:t>
            </w:r>
            <w:r w:rsidR="00355C8A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  <w:tc>
          <w:tcPr>
            <w:tcW w:w="475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DBADBC" w14:textId="07CAAC10" w:rsidR="001912E5" w:rsidRDefault="001912E5" w:rsidP="001912E5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1枚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（膏体質量2.0g）中</w:t>
            </w:r>
            <w:r w:rsidR="007610A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7C0AF95A" w14:textId="06A4B3AE" w:rsidR="00687265" w:rsidRPr="00617D83" w:rsidRDefault="001912E5" w:rsidP="001912E5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  <w:r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5AC1C470" w14:textId="77777777" w:rsidTr="00C502EF">
        <w:trPr>
          <w:trHeight w:val="311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35D0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501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4A604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</w:t>
            </w:r>
            <w:r w:rsidR="00320759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1A8B9F6E" w14:textId="77777777" w:rsidTr="00C502EF">
        <w:trPr>
          <w:trHeight w:val="176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99E67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750" w:type="dxa"/>
            <w:gridSpan w:val="3"/>
            <w:tcBorders>
              <w:left w:val="single" w:sz="18" w:space="0" w:color="auto"/>
            </w:tcBorders>
            <w:vAlign w:val="center"/>
          </w:tcPr>
          <w:p w14:paraId="692C0F2B" w14:textId="5E5A89AA" w:rsidR="000639F2" w:rsidRPr="00FB1012" w:rsidRDefault="003B44AA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B44AA">
              <w:rPr>
                <w:rFonts w:ascii="ＭＳ ゴシック" w:eastAsia="ＭＳ ゴシック" w:hAnsi="ＭＳ ゴシック"/>
                <w:sz w:val="20"/>
              </w:rPr>
              <w:t>14</w:t>
            </w:r>
            <w:r>
              <w:rPr>
                <w:rFonts w:ascii="ＭＳ ゴシック" w:eastAsia="ＭＳ ゴシック" w:hAnsi="ＭＳ ゴシック"/>
                <w:sz w:val="20"/>
              </w:rPr>
              <w:t>.00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5C1390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751" w:type="dxa"/>
            <w:gridSpan w:val="3"/>
            <w:tcBorders>
              <w:right w:val="single" w:sz="18" w:space="0" w:color="auto"/>
            </w:tcBorders>
            <w:vAlign w:val="center"/>
          </w:tcPr>
          <w:p w14:paraId="5A4EC294" w14:textId="1764B762" w:rsidR="000639F2" w:rsidRPr="00BC266A" w:rsidRDefault="003B44AA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B44AA">
              <w:rPr>
                <w:rFonts w:ascii="ＭＳ ゴシック" w:eastAsia="ＭＳ ゴシック" w:hAnsi="ＭＳ ゴシック"/>
                <w:sz w:val="20"/>
              </w:rPr>
              <w:t>17.10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5C1390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534D3427" w14:textId="77777777" w:rsidTr="00C502EF">
        <w:trPr>
          <w:trHeight w:val="593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FF58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501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A5F0E" w14:textId="77777777" w:rsidR="000639F2" w:rsidRDefault="00A4498D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下記疾患並びに症状の鎮痛・消炎</w:t>
            </w:r>
          </w:p>
          <w:p w14:paraId="0F8D8C68" w14:textId="77777777" w:rsidR="008F6C08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</w:t>
            </w:r>
            <w:r w:rsidR="007039DE">
              <w:rPr>
                <w:rFonts w:ascii="ＭＳ ゴシック" w:eastAsia="ＭＳ ゴシック" w:hAnsi="ＭＳ ゴシック" w:hint="eastAsia"/>
                <w:sz w:val="20"/>
              </w:rPr>
              <w:t>肩関節周囲炎、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腱・腱鞘炎、腱周囲炎、</w:t>
            </w:r>
          </w:p>
          <w:p w14:paraId="44502FF9" w14:textId="77777777" w:rsidR="00B9568B" w:rsidRPr="00FB1012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51D89559" w14:textId="77777777" w:rsidTr="00C502EF">
        <w:trPr>
          <w:trHeight w:val="281"/>
        </w:trPr>
        <w:tc>
          <w:tcPr>
            <w:tcW w:w="15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6AE0F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501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052E2" w14:textId="77777777" w:rsidR="000639F2" w:rsidRPr="00FB1012" w:rsidRDefault="007039DE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1日2回患部に貼付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1856A02C" w14:textId="77777777" w:rsidTr="00C502EF">
        <w:trPr>
          <w:trHeight w:val="835"/>
        </w:trPr>
        <w:tc>
          <w:tcPr>
            <w:tcW w:w="15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64AE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75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185" w14:textId="77777777" w:rsidR="000639F2" w:rsidRPr="00FB1012" w:rsidRDefault="006A1555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香料、BHT、テルペン樹脂、</w:t>
            </w:r>
            <w:r w:rsidR="00992B65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スチレン・イソプレン・スチレンブロック共重合体、ポリブテン、ポリオキシエチレンポリオキシプロピレングリコール、セバシン酸</w:t>
            </w:r>
            <w:r w:rsidR="00DB2765">
              <w:rPr>
                <w:rFonts w:ascii="ＭＳ ゴシック" w:eastAsia="ＭＳ ゴシック" w:hAnsi="ＭＳ ゴシック" w:hint="eastAsia"/>
                <w:sz w:val="20"/>
              </w:rPr>
              <w:t>ジエチル、炭酸プロピレン、流動パラフィン、その他1成分</w:t>
            </w:r>
          </w:p>
        </w:tc>
        <w:tc>
          <w:tcPr>
            <w:tcW w:w="475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105C2" w14:textId="77777777" w:rsidR="000639F2" w:rsidRPr="00FB1012" w:rsidRDefault="00944B93" w:rsidP="00BD02D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</w:rPr>
              <w:t>レンブロック共重合体</w:t>
            </w:r>
            <w:r w:rsidR="00DA6691">
              <w:rPr>
                <w:rFonts w:ascii="ＭＳ ゴシック" w:eastAsia="ＭＳ ゴシック" w:hAnsi="ＭＳ ゴシック" w:hint="eastAsia"/>
                <w:sz w:val="20"/>
              </w:rPr>
              <w:t>、脂環族飽和炭化水素樹脂、ジブチルヒドロキシトルエン、流動パラフィン、その他2成分</w:t>
            </w:r>
          </w:p>
        </w:tc>
      </w:tr>
      <w:tr w:rsidR="00216079" w:rsidRPr="00FB1012" w14:paraId="6BFC94AB" w14:textId="77777777" w:rsidTr="00C502EF">
        <w:trPr>
          <w:trHeight w:val="183"/>
        </w:trPr>
        <w:tc>
          <w:tcPr>
            <w:tcW w:w="1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B7068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F241701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6693574E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67476F" w14:textId="77777777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192C5374" w14:textId="5734BC97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6AA5912" w14:textId="599444EB" w:rsidR="008B7BA5" w:rsidRPr="00AF32C9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遮光した気密容器、室温保存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E2682" w14:textId="77777777" w:rsid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6BADB707" w14:textId="2988D156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表示の使用期限内に使用すること</w:t>
            </w:r>
            <w:r w:rsidR="00054094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14:paraId="3C1E284B" w14:textId="02537445" w:rsidR="00216079" w:rsidRPr="00934229" w:rsidRDefault="008822E1" w:rsidP="008822E1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遮光・気密容器、室温保存</w:t>
            </w:r>
          </w:p>
        </w:tc>
      </w:tr>
      <w:tr w:rsidR="000639F2" w:rsidRPr="00FB1012" w14:paraId="598AF34B" w14:textId="77777777" w:rsidTr="00C502EF">
        <w:trPr>
          <w:cantSplit/>
          <w:trHeight w:val="284"/>
        </w:trPr>
        <w:tc>
          <w:tcPr>
            <w:tcW w:w="1556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53E052A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24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FCF346B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546" w:type="dxa"/>
            <w:gridSpan w:val="3"/>
            <w:tcBorders>
              <w:top w:val="double" w:sz="12" w:space="0" w:color="000000"/>
            </w:tcBorders>
            <w:vAlign w:val="center"/>
          </w:tcPr>
          <w:p w14:paraId="2B1ADAB8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2552" w:type="dxa"/>
            <w:tcBorders>
              <w:top w:val="double" w:sz="12" w:space="0" w:color="000000"/>
            </w:tcBorders>
            <w:vAlign w:val="center"/>
          </w:tcPr>
          <w:p w14:paraId="40458342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79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45C96094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C0E0B" w:rsidRPr="00FB1012" w14:paraId="1747B41B" w14:textId="77777777" w:rsidTr="00A633A4">
        <w:trPr>
          <w:cantSplit/>
          <w:trHeight w:val="1606"/>
        </w:trPr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A462CE" w14:textId="77777777" w:rsidR="007C0E0B" w:rsidRPr="00FB1012" w:rsidRDefault="007C0E0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376F5B84" w14:textId="55C2DFB2" w:rsidR="007C0E0B" w:rsidRPr="00FB1012" w:rsidRDefault="002D6963" w:rsidP="000123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フェルビナクテープ70mg「三笠」</w:t>
            </w:r>
          </w:p>
        </w:tc>
        <w:tc>
          <w:tcPr>
            <w:tcW w:w="1772" w:type="dxa"/>
          </w:tcPr>
          <w:p w14:paraId="4616B942" w14:textId="68C067EF" w:rsidR="007C0E0B" w:rsidRDefault="00265B1F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204B0D" wp14:editId="0EFA96FD">
                  <wp:simplePos x="0" y="0"/>
                  <wp:positionH relativeFrom="column">
                    <wp:posOffset>114223</wp:posOffset>
                  </wp:positionH>
                  <wp:positionV relativeFrom="paragraph">
                    <wp:posOffset>162483</wp:posOffset>
                  </wp:positionV>
                  <wp:extent cx="790575" cy="793087"/>
                  <wp:effectExtent l="0" t="0" r="0" b="762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55" cy="80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1ED" w:rsidRPr="005351ED">
              <w:rPr>
                <w:rFonts w:asciiTheme="majorEastAsia" w:eastAsiaTheme="majorEastAsia" w:hAnsiTheme="majorEastAsia" w:hint="eastAsia"/>
                <w:noProof/>
                <w:sz w:val="20"/>
              </w:rPr>
              <w:t>製剤</w:t>
            </w:r>
          </w:p>
          <w:p w14:paraId="7A49F53A" w14:textId="142E322E" w:rsidR="00A633A4" w:rsidRDefault="00A633A4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4B47B932" w14:textId="37A6339B" w:rsidR="00DF318F" w:rsidRDefault="00DF318F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7E169EAA" w14:textId="44D1EC66" w:rsidR="00DF318F" w:rsidRDefault="00DF318F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4466DCA5" w14:textId="392B8CBE" w:rsidR="00DF318F" w:rsidRDefault="00DF318F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5C452D95" w14:textId="77777777" w:rsidR="00DF318F" w:rsidRDefault="00DF318F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1EBDAEA1" w14:textId="77777777" w:rsidR="008671E5" w:rsidRPr="003025CD" w:rsidRDefault="008671E5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10cm×14cm</w:t>
            </w:r>
          </w:p>
        </w:tc>
        <w:tc>
          <w:tcPr>
            <w:tcW w:w="1774" w:type="dxa"/>
            <w:gridSpan w:val="2"/>
          </w:tcPr>
          <w:p w14:paraId="6DE121DD" w14:textId="5F09C650" w:rsidR="005351ED" w:rsidRPr="003025CD" w:rsidRDefault="008671E5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薬袋</w:t>
            </w:r>
          </w:p>
          <w:p w14:paraId="320B360E" w14:textId="1509E5B9" w:rsidR="00F16EAD" w:rsidRPr="00DC113E" w:rsidRDefault="00DF318F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A3D30E" wp14:editId="1692CC9A">
                  <wp:simplePos x="0" y="0"/>
                  <wp:positionH relativeFrom="column">
                    <wp:posOffset>100602</wp:posOffset>
                  </wp:positionH>
                  <wp:positionV relativeFrom="paragraph">
                    <wp:posOffset>440</wp:posOffset>
                  </wp:positionV>
                  <wp:extent cx="795020" cy="795020"/>
                  <wp:effectExtent l="0" t="0" r="508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center"/>
          </w:tcPr>
          <w:p w14:paraId="73257AE5" w14:textId="611A8D47" w:rsidR="007C0E0B" w:rsidRPr="00AF14B3" w:rsidRDefault="007C0E0B" w:rsidP="004C631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AB7CC5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を支持体に展延し、膏体をライナーで被覆した貼付剤である。ライナーを除き直ちに観察するとき、膏体は微黄色</w:t>
            </w:r>
            <w:r w:rsidR="00A633A4">
              <w:rPr>
                <w:rFonts w:ascii="ＭＳ ゴシック" w:eastAsia="ＭＳ ゴシック" w:hAnsi="ＭＳ ゴシック" w:hint="eastAsia"/>
                <w:sz w:val="20"/>
              </w:rPr>
              <w:t>半透明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～黄色半透明で特異な芳香がある。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14:paraId="7FE88BCA" w14:textId="4394F1D1" w:rsidR="007C0E0B" w:rsidRPr="00FB1012" w:rsidRDefault="007C0E0B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</w:t>
            </w:r>
            <w:r w:rsidR="00144C0E">
              <w:rPr>
                <w:rFonts w:ascii="ＭＳ ゴシック" w:eastAsia="ＭＳ ゴシック" w:hAnsi="ＭＳ ゴシック" w:hint="eastAsia"/>
                <w:sz w:val="20"/>
              </w:rPr>
              <w:t>FBT70</w:t>
            </w:r>
          </w:p>
        </w:tc>
      </w:tr>
      <w:tr w:rsidR="005D1CEB" w:rsidRPr="00FB1012" w14:paraId="5C54A5B6" w14:textId="77777777" w:rsidTr="00C502EF">
        <w:trPr>
          <w:cantSplit/>
          <w:trHeight w:val="809"/>
        </w:trPr>
        <w:tc>
          <w:tcPr>
            <w:tcW w:w="1556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34D51CB1" w14:textId="77777777" w:rsidR="005D1CEB" w:rsidRPr="00FB1012" w:rsidRDefault="005D1CE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4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6EBA8492" w14:textId="77777777" w:rsidR="005D1CEB" w:rsidRPr="00FB1012" w:rsidRDefault="005D1CEB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C113E"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  <w:tc>
          <w:tcPr>
            <w:tcW w:w="1772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5C690FC8" w14:textId="651F5C0F" w:rsidR="00F16EAD" w:rsidRDefault="00F16EAD" w:rsidP="00F16EAD">
            <w:pPr>
              <w:spacing w:line="0" w:lineRule="atLeast"/>
              <w:ind w:leftChars="-38" w:left="-91" w:firstLineChars="70" w:firstLine="14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7F1B93AC" w14:textId="5FFD20B9" w:rsidR="00F16EAD" w:rsidRDefault="00F16EAD" w:rsidP="00F16EAD">
            <w:pPr>
              <w:spacing w:line="0" w:lineRule="atLeast"/>
              <w:ind w:leftChars="-38" w:left="-91" w:firstLineChars="70" w:firstLine="14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CDD4123" w14:textId="1F188CB8" w:rsidR="00F16EAD" w:rsidRDefault="00F16EAD" w:rsidP="00F16EAD">
            <w:pPr>
              <w:spacing w:line="0" w:lineRule="atLeast"/>
              <w:ind w:leftChars="-38" w:left="-91" w:firstLineChars="70" w:firstLine="14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8F171BC" w14:textId="77777777" w:rsidR="00A633A4" w:rsidRDefault="00A633A4" w:rsidP="00F16EAD">
            <w:pPr>
              <w:spacing w:line="0" w:lineRule="atLeast"/>
              <w:ind w:leftChars="-38" w:left="-91" w:firstLineChars="70" w:firstLine="14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47CBFD1" w14:textId="1C332368" w:rsidR="005D1CEB" w:rsidRPr="0020354A" w:rsidRDefault="005D1CEB" w:rsidP="00A92104">
            <w:pPr>
              <w:spacing w:line="0" w:lineRule="atLeast"/>
              <w:ind w:leftChars="-38" w:left="-91" w:firstLineChars="213" w:firstLine="426"/>
              <w:rPr>
                <w:rFonts w:ascii="ＭＳ ゴシック" w:eastAsia="ＭＳ ゴシック" w:hAnsi="ＭＳ ゴシック"/>
                <w:sz w:val="20"/>
              </w:rPr>
            </w:pPr>
            <w:r w:rsidRPr="0020354A">
              <w:rPr>
                <w:rFonts w:ascii="ＭＳ ゴシック" w:eastAsia="ＭＳ ゴシック" w:hAnsi="ＭＳ ゴシック"/>
                <w:sz w:val="20"/>
              </w:rPr>
              <w:t>10cm×14cm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C762C77" w14:textId="77777777" w:rsidR="005D1CEB" w:rsidRPr="0020354A" w:rsidRDefault="005D1CEB" w:rsidP="008671E5">
            <w:pPr>
              <w:spacing w:line="0" w:lineRule="atLeast"/>
              <w:ind w:firstLineChars="650" w:firstLine="1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40D76242" w14:textId="274851C8" w:rsidR="005D1CEB" w:rsidRPr="00AF14B3" w:rsidRDefault="005D1CEB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白色半透明の膏体を支持体で支持し、膏体面をライナーで被覆した貼付剤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E153B2" w14:textId="5B31B12C" w:rsidR="005D1CEB" w:rsidRPr="00ED11FF" w:rsidRDefault="005D1CEB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22D2D" w:rsidRPr="00FB1012" w14:paraId="08C0ACB5" w14:textId="77777777" w:rsidTr="00C502EF">
        <w:trPr>
          <w:trHeight w:val="3324"/>
        </w:trPr>
        <w:tc>
          <w:tcPr>
            <w:tcW w:w="1556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99EF4CB" w14:textId="77777777" w:rsidR="00622D2D" w:rsidRPr="00A764D2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対照製剤</w:t>
            </w: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＊</w:t>
            </w: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との生物学的同等性</w:t>
            </w:r>
          </w:p>
          <w:p w14:paraId="2221E099" w14:textId="77777777" w:rsidR="00622D2D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B200B0" w14:textId="77777777" w:rsidR="00622D2D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897C21" w14:textId="2FD10EC5" w:rsidR="00622D2D" w:rsidRPr="00FB1012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*:先発品と同等性が確認された製剤で、上記の標準製剤とは異なります</w:t>
            </w:r>
          </w:p>
        </w:tc>
        <w:tc>
          <w:tcPr>
            <w:tcW w:w="4750" w:type="dxa"/>
            <w:gridSpan w:val="3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19B75E70" w14:textId="77777777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物学的同等性試験（血中濃度比較試験）】</w:t>
            </w:r>
          </w:p>
          <w:p w14:paraId="2AAEA2EA" w14:textId="1A749BA8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健康成人男性20例を対象に、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）と対照製剤を背部に12時間貼付したときの血漿中濃度の測定し、両製剤の生物学的同等性を検討した。</w:t>
            </w:r>
          </w:p>
          <w:p w14:paraId="6F5E0AFB" w14:textId="17C3640A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生物学的同等性判定の主要評価項目である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0"/>
              </w:rPr>
              <w:t>C</w:t>
            </w:r>
            <w:r w:rsidRPr="004528DA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max</w:t>
            </w:r>
            <w:proofErr w:type="spellEnd"/>
            <w:r>
              <w:rPr>
                <w:rFonts w:ascii="ＭＳ ゴシック" w:eastAsia="ＭＳ ゴシック" w:hAnsi="ＭＳ ゴシック" w:hint="eastAsia"/>
                <w:sz w:val="20"/>
              </w:rPr>
              <w:t>及びAUC</w:t>
            </w:r>
            <w:r w:rsidRPr="00F1688E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0-72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の対数値における平均値の差の90％信頼区間は、それぞれl</w:t>
            </w:r>
            <w:r>
              <w:rPr>
                <w:rFonts w:ascii="ＭＳ ゴシック" w:eastAsia="ＭＳ ゴシック" w:hAnsi="ＭＳ ゴシック"/>
                <w:sz w:val="20"/>
              </w:rPr>
              <w:t>og(0.936)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og(1.16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[93.6％～116.1％]、l</w:t>
            </w:r>
            <w:r>
              <w:rPr>
                <w:rFonts w:ascii="ＭＳ ゴシック" w:eastAsia="ＭＳ ゴシック" w:hAnsi="ＭＳ ゴシック"/>
                <w:sz w:val="20"/>
              </w:rPr>
              <w:t>og(0.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877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1.060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[87.7％～106.0％]であり、いずれも生物学的同等性の判定基準であるlog（0.8）～log（1.25）[80％～125％]の範囲にあった。以上の結果から、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と対照製剤は、生物学的に同等であることが検証された。</w:t>
            </w:r>
          </w:p>
        </w:tc>
        <w:tc>
          <w:tcPr>
            <w:tcW w:w="4751" w:type="dxa"/>
            <w:gridSpan w:val="3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</w:tcPr>
          <w:p w14:paraId="05D83187" w14:textId="0D428184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薬物残存量試験</w:t>
            </w: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1C6AA293" w14:textId="7B7B27F0" w:rsidR="00622D2D" w:rsidRPr="00174F12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健康成人男子8例を対象に、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）の薬物（フェルビナク）移行量を算出し、両製剤の生物学的同等性を検証した。両製剤の薬物移行量の平均値の差の90%信頼区間は、log（0.817</w:t>
            </w: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）～log（1.1589）であり、生物学的同等性の判定基準であるlog（0.8）～log（1.25）の範囲にあった。以上の結果から、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）は、生物学的に同等であることが検証された。</w:t>
            </w:r>
          </w:p>
          <w:p w14:paraId="70DBD8AF" w14:textId="77777777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099DE0AB" w14:textId="60A020C7" w:rsidR="00622D2D" w:rsidRPr="006F1180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新処方製剤への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処方変更（2005年5月）</w:t>
            </w:r>
          </w:p>
        </w:tc>
      </w:tr>
      <w:tr w:rsidR="00622D2D" w:rsidRPr="00FB1012" w14:paraId="03BC17AA" w14:textId="77777777" w:rsidTr="00C502EF">
        <w:trPr>
          <w:cantSplit/>
          <w:trHeight w:val="205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27710" w14:textId="52CD496D" w:rsidR="00622D2D" w:rsidRPr="00FB1012" w:rsidRDefault="00622D2D" w:rsidP="00622D2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5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E72F0" w14:textId="77777777" w:rsidR="00622D2D" w:rsidRPr="00FB1012" w:rsidRDefault="00622D2D" w:rsidP="00622D2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61E48A41" w14:textId="77777777" w:rsidR="00E87D06" w:rsidRDefault="00531999" w:rsidP="00851E3E"/>
    <w:sectPr w:rsidR="00E87D06" w:rsidSect="00A9469C">
      <w:headerReference w:type="default" r:id="rId9"/>
      <w:pgSz w:w="11906" w:h="16838"/>
      <w:pgMar w:top="567" w:right="284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B5B2E" w14:textId="77777777" w:rsidR="00531999" w:rsidRDefault="00531999" w:rsidP="00982A6E">
      <w:pPr>
        <w:spacing w:line="240" w:lineRule="auto"/>
      </w:pPr>
      <w:r>
        <w:separator/>
      </w:r>
    </w:p>
  </w:endnote>
  <w:endnote w:type="continuationSeparator" w:id="0">
    <w:p w14:paraId="16D37A53" w14:textId="77777777" w:rsidR="00531999" w:rsidRDefault="00531999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52DF3" w14:textId="77777777" w:rsidR="00531999" w:rsidRDefault="00531999" w:rsidP="00982A6E">
      <w:pPr>
        <w:spacing w:line="240" w:lineRule="auto"/>
      </w:pPr>
      <w:r>
        <w:separator/>
      </w:r>
    </w:p>
  </w:footnote>
  <w:footnote w:type="continuationSeparator" w:id="0">
    <w:p w14:paraId="67EEB0A5" w14:textId="77777777" w:rsidR="00531999" w:rsidRDefault="00531999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4F3C7" w14:textId="5B55BBF7" w:rsidR="00982A6E" w:rsidRPr="00F116B5" w:rsidRDefault="00982A6E">
    <w:pPr>
      <w:pStyle w:val="a3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 w:rsidR="0090345B" w:rsidRPr="00F116B5">
      <w:rPr>
        <w:rFonts w:asciiTheme="majorEastAsia" w:eastAsiaTheme="majorEastAsia" w:hAnsiTheme="majorEastAsia"/>
      </w:rPr>
      <w:t>20</w:t>
    </w:r>
    <w:r w:rsidR="005D1CEB" w:rsidRPr="00F116B5">
      <w:rPr>
        <w:rFonts w:asciiTheme="majorEastAsia" w:eastAsiaTheme="majorEastAsia" w:hAnsiTheme="majorEastAsia" w:hint="eastAsia"/>
      </w:rPr>
      <w:t>2</w:t>
    </w:r>
    <w:r w:rsidR="003B44AA">
      <w:rPr>
        <w:rFonts w:asciiTheme="majorEastAsia" w:eastAsiaTheme="majorEastAsia" w:hAnsiTheme="majorEastAsia"/>
      </w:rPr>
      <w:t>1</w:t>
    </w:r>
    <w:r w:rsidR="002104D5" w:rsidRPr="00F116B5">
      <w:rPr>
        <w:rFonts w:asciiTheme="majorEastAsia" w:eastAsiaTheme="majorEastAsia" w:hAnsiTheme="majorEastAsia" w:hint="eastAsia"/>
      </w:rPr>
      <w:t>年</w:t>
    </w:r>
    <w:r w:rsidR="003B44AA">
      <w:rPr>
        <w:rFonts w:asciiTheme="majorEastAsia" w:eastAsiaTheme="majorEastAsia" w:hAnsiTheme="majorEastAsia"/>
      </w:rPr>
      <w:t>4</w:t>
    </w:r>
    <w:r w:rsidR="002104D5" w:rsidRPr="00F116B5">
      <w:rPr>
        <w:rFonts w:asciiTheme="majorEastAsia" w:eastAsiaTheme="majorEastAsia" w:hAnsiTheme="majorEastAsia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F2"/>
    <w:rsid w:val="00005991"/>
    <w:rsid w:val="0001234C"/>
    <w:rsid w:val="0001642E"/>
    <w:rsid w:val="000169CB"/>
    <w:rsid w:val="00025819"/>
    <w:rsid w:val="00031629"/>
    <w:rsid w:val="000414D2"/>
    <w:rsid w:val="00050D7F"/>
    <w:rsid w:val="00054094"/>
    <w:rsid w:val="000636EC"/>
    <w:rsid w:val="000639F2"/>
    <w:rsid w:val="000659E6"/>
    <w:rsid w:val="000761D4"/>
    <w:rsid w:val="00076F98"/>
    <w:rsid w:val="000C1880"/>
    <w:rsid w:val="00114859"/>
    <w:rsid w:val="001156D6"/>
    <w:rsid w:val="001158A7"/>
    <w:rsid w:val="00125D54"/>
    <w:rsid w:val="00127EF0"/>
    <w:rsid w:val="001354B9"/>
    <w:rsid w:val="001361D7"/>
    <w:rsid w:val="00144C0E"/>
    <w:rsid w:val="0014631C"/>
    <w:rsid w:val="00160E54"/>
    <w:rsid w:val="001629B0"/>
    <w:rsid w:val="00174F12"/>
    <w:rsid w:val="001912E5"/>
    <w:rsid w:val="001A19F4"/>
    <w:rsid w:val="001D0959"/>
    <w:rsid w:val="001E5EC7"/>
    <w:rsid w:val="001F57E9"/>
    <w:rsid w:val="001F5A54"/>
    <w:rsid w:val="001F5F78"/>
    <w:rsid w:val="0020354A"/>
    <w:rsid w:val="002104D5"/>
    <w:rsid w:val="00210C52"/>
    <w:rsid w:val="00211032"/>
    <w:rsid w:val="002121C0"/>
    <w:rsid w:val="00216079"/>
    <w:rsid w:val="00227B58"/>
    <w:rsid w:val="00237200"/>
    <w:rsid w:val="00265B1F"/>
    <w:rsid w:val="00266CEC"/>
    <w:rsid w:val="00277262"/>
    <w:rsid w:val="00292D68"/>
    <w:rsid w:val="002A51D0"/>
    <w:rsid w:val="002D1208"/>
    <w:rsid w:val="002D4014"/>
    <w:rsid w:val="002D6963"/>
    <w:rsid w:val="003025CD"/>
    <w:rsid w:val="003061D9"/>
    <w:rsid w:val="00320759"/>
    <w:rsid w:val="00341781"/>
    <w:rsid w:val="00350056"/>
    <w:rsid w:val="00350ACC"/>
    <w:rsid w:val="00355C8A"/>
    <w:rsid w:val="003729B5"/>
    <w:rsid w:val="00375201"/>
    <w:rsid w:val="00376082"/>
    <w:rsid w:val="00385798"/>
    <w:rsid w:val="003972CA"/>
    <w:rsid w:val="003B44AA"/>
    <w:rsid w:val="003C160E"/>
    <w:rsid w:val="003D2133"/>
    <w:rsid w:val="003D3947"/>
    <w:rsid w:val="003D4A9C"/>
    <w:rsid w:val="00400DC6"/>
    <w:rsid w:val="00437BEA"/>
    <w:rsid w:val="00447D86"/>
    <w:rsid w:val="00452388"/>
    <w:rsid w:val="0046596C"/>
    <w:rsid w:val="00477B17"/>
    <w:rsid w:val="00481106"/>
    <w:rsid w:val="004947EA"/>
    <w:rsid w:val="00495F0A"/>
    <w:rsid w:val="004C6315"/>
    <w:rsid w:val="004D3893"/>
    <w:rsid w:val="004D43B8"/>
    <w:rsid w:val="004E4D46"/>
    <w:rsid w:val="004F0724"/>
    <w:rsid w:val="00506736"/>
    <w:rsid w:val="00527AD8"/>
    <w:rsid w:val="00531999"/>
    <w:rsid w:val="005351ED"/>
    <w:rsid w:val="0057331B"/>
    <w:rsid w:val="00575336"/>
    <w:rsid w:val="00581815"/>
    <w:rsid w:val="00583947"/>
    <w:rsid w:val="005C1390"/>
    <w:rsid w:val="005D1CEB"/>
    <w:rsid w:val="005E2B01"/>
    <w:rsid w:val="005E3FDA"/>
    <w:rsid w:val="005F22DD"/>
    <w:rsid w:val="005F2518"/>
    <w:rsid w:val="00602400"/>
    <w:rsid w:val="00617D83"/>
    <w:rsid w:val="00621070"/>
    <w:rsid w:val="00622D2D"/>
    <w:rsid w:val="00624A6C"/>
    <w:rsid w:val="00625990"/>
    <w:rsid w:val="006376DF"/>
    <w:rsid w:val="006460B6"/>
    <w:rsid w:val="00653432"/>
    <w:rsid w:val="006645E2"/>
    <w:rsid w:val="00664621"/>
    <w:rsid w:val="00675B82"/>
    <w:rsid w:val="00687265"/>
    <w:rsid w:val="006900A0"/>
    <w:rsid w:val="00693EDB"/>
    <w:rsid w:val="006A1555"/>
    <w:rsid w:val="006A2117"/>
    <w:rsid w:val="006D03B3"/>
    <w:rsid w:val="006F1180"/>
    <w:rsid w:val="0070227F"/>
    <w:rsid w:val="007039DE"/>
    <w:rsid w:val="00722069"/>
    <w:rsid w:val="007376A4"/>
    <w:rsid w:val="00737896"/>
    <w:rsid w:val="00746622"/>
    <w:rsid w:val="007524F0"/>
    <w:rsid w:val="00755975"/>
    <w:rsid w:val="007610A3"/>
    <w:rsid w:val="007751A5"/>
    <w:rsid w:val="00775F69"/>
    <w:rsid w:val="007812D2"/>
    <w:rsid w:val="007C0E0B"/>
    <w:rsid w:val="007D3E8A"/>
    <w:rsid w:val="007E2631"/>
    <w:rsid w:val="0081482F"/>
    <w:rsid w:val="00820D0F"/>
    <w:rsid w:val="008458B1"/>
    <w:rsid w:val="00851E3E"/>
    <w:rsid w:val="008671E5"/>
    <w:rsid w:val="00880C10"/>
    <w:rsid w:val="008822E1"/>
    <w:rsid w:val="008A1C72"/>
    <w:rsid w:val="008B7BA5"/>
    <w:rsid w:val="008C4814"/>
    <w:rsid w:val="008F57B3"/>
    <w:rsid w:val="008F6C08"/>
    <w:rsid w:val="008F6C99"/>
    <w:rsid w:val="0090345B"/>
    <w:rsid w:val="00934229"/>
    <w:rsid w:val="00944B93"/>
    <w:rsid w:val="00956284"/>
    <w:rsid w:val="00957FB3"/>
    <w:rsid w:val="00963867"/>
    <w:rsid w:val="00982A6E"/>
    <w:rsid w:val="00984916"/>
    <w:rsid w:val="00992B1A"/>
    <w:rsid w:val="00992B65"/>
    <w:rsid w:val="009B6B05"/>
    <w:rsid w:val="009F37FB"/>
    <w:rsid w:val="00A03EE3"/>
    <w:rsid w:val="00A23320"/>
    <w:rsid w:val="00A25BEE"/>
    <w:rsid w:val="00A33D0C"/>
    <w:rsid w:val="00A4498D"/>
    <w:rsid w:val="00A57484"/>
    <w:rsid w:val="00A633A4"/>
    <w:rsid w:val="00A82951"/>
    <w:rsid w:val="00A84F2E"/>
    <w:rsid w:val="00A92104"/>
    <w:rsid w:val="00A9469C"/>
    <w:rsid w:val="00A946B7"/>
    <w:rsid w:val="00AA5B0C"/>
    <w:rsid w:val="00AB2322"/>
    <w:rsid w:val="00AB7CC5"/>
    <w:rsid w:val="00AD43C2"/>
    <w:rsid w:val="00AF31F7"/>
    <w:rsid w:val="00AF61E7"/>
    <w:rsid w:val="00B12166"/>
    <w:rsid w:val="00B14539"/>
    <w:rsid w:val="00B145BF"/>
    <w:rsid w:val="00B301DD"/>
    <w:rsid w:val="00B41585"/>
    <w:rsid w:val="00B7501F"/>
    <w:rsid w:val="00B87434"/>
    <w:rsid w:val="00B91B7F"/>
    <w:rsid w:val="00B94E84"/>
    <w:rsid w:val="00B9568B"/>
    <w:rsid w:val="00BA5C49"/>
    <w:rsid w:val="00BB6792"/>
    <w:rsid w:val="00BC08F2"/>
    <w:rsid w:val="00BC6654"/>
    <w:rsid w:val="00BD02D5"/>
    <w:rsid w:val="00BD0C5D"/>
    <w:rsid w:val="00BD10E0"/>
    <w:rsid w:val="00BD72FF"/>
    <w:rsid w:val="00C2043C"/>
    <w:rsid w:val="00C373CD"/>
    <w:rsid w:val="00C502EF"/>
    <w:rsid w:val="00C63064"/>
    <w:rsid w:val="00C642A5"/>
    <w:rsid w:val="00CC1EC1"/>
    <w:rsid w:val="00CD0BDD"/>
    <w:rsid w:val="00CD1B4A"/>
    <w:rsid w:val="00CD3F6C"/>
    <w:rsid w:val="00CF0532"/>
    <w:rsid w:val="00D16AE8"/>
    <w:rsid w:val="00D5312D"/>
    <w:rsid w:val="00D8716F"/>
    <w:rsid w:val="00D87F3B"/>
    <w:rsid w:val="00D957FC"/>
    <w:rsid w:val="00DA2B12"/>
    <w:rsid w:val="00DA6691"/>
    <w:rsid w:val="00DB2765"/>
    <w:rsid w:val="00DB33E7"/>
    <w:rsid w:val="00DC0C26"/>
    <w:rsid w:val="00DC113E"/>
    <w:rsid w:val="00DF318F"/>
    <w:rsid w:val="00DF74B8"/>
    <w:rsid w:val="00E10D78"/>
    <w:rsid w:val="00E16692"/>
    <w:rsid w:val="00E54C82"/>
    <w:rsid w:val="00E832A0"/>
    <w:rsid w:val="00E950CB"/>
    <w:rsid w:val="00EA064C"/>
    <w:rsid w:val="00ED11FF"/>
    <w:rsid w:val="00EE26AF"/>
    <w:rsid w:val="00EE5B2B"/>
    <w:rsid w:val="00EF5AB2"/>
    <w:rsid w:val="00F04DB3"/>
    <w:rsid w:val="00F116B5"/>
    <w:rsid w:val="00F16EAD"/>
    <w:rsid w:val="00F30800"/>
    <w:rsid w:val="00F4681C"/>
    <w:rsid w:val="00F51E4B"/>
    <w:rsid w:val="00FB5013"/>
    <w:rsid w:val="00FD3C62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3ECE6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69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69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D6963"/>
    <w:rPr>
      <w:rFonts w:ascii="ＭＳ 明朝" w:eastAsia="ＭＳ 明朝" w:hAnsi="Century" w:cs="Times New Roman"/>
      <w:kern w:val="0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69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6963"/>
    <w:rPr>
      <w:rFonts w:ascii="ＭＳ 明朝" w:eastAsia="ＭＳ 明朝" w:hAnsi="Century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A9A4-9B12-4418-B0E8-0AF4CBBA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DHO080</cp:lastModifiedBy>
  <cp:revision>89</cp:revision>
  <cp:lastPrinted>2018-08-01T05:14:00Z</cp:lastPrinted>
  <dcterms:created xsi:type="dcterms:W3CDTF">2018-07-24T06:42:00Z</dcterms:created>
  <dcterms:modified xsi:type="dcterms:W3CDTF">2021-03-08T00:43:00Z</dcterms:modified>
</cp:coreProperties>
</file>