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FBED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F51A2E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308"/>
        <w:gridCol w:w="2309"/>
        <w:gridCol w:w="3199"/>
        <w:gridCol w:w="1418"/>
      </w:tblGrid>
      <w:tr w:rsidR="000639F2" w:rsidRPr="00FB1012" w14:paraId="1DA89483" w14:textId="77777777" w:rsidTr="00A2428A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A2428A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A2428A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4677D545" w14:textId="436DBAD7" w:rsidR="000639F2" w:rsidRPr="00FB1012" w:rsidRDefault="0093395F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A2428A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A2428A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A2428A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A2428A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21B48AC4" w14:textId="54F3723B" w:rsidR="000639F2" w:rsidRPr="00FB1012" w:rsidRDefault="00BA576E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6.50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038E8AB7" w:rsidR="000639F2" w:rsidRPr="00BC266A" w:rsidRDefault="00BA576E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7.20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</w:tr>
      <w:tr w:rsidR="000639F2" w:rsidRPr="00FB1012" w14:paraId="2CD72342" w14:textId="77777777" w:rsidTr="00A2428A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A2428A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A2428A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l-メントール、ポリオキシエチレン硬化ヒマシ油、スクワラン、イソプロパノール、pH調整剤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A2428A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3508F2B0" w:rsidR="00216079" w:rsidRDefault="0008679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41C14" w14:textId="77777777" w:rsidR="00A946B7" w:rsidRPr="00AF32C9" w:rsidRDefault="006053D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密栓して</w:t>
            </w:r>
            <w:r w:rsidR="00A946B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3CE97A2F" w:rsidR="00216079" w:rsidRDefault="00213B62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最終年月を外箱等に記載</w:t>
            </w:r>
          </w:p>
          <w:p w14:paraId="1E6DD1FE" w14:textId="65FE1D44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室温保存、</w:t>
            </w:r>
            <w:r w:rsidR="007E2631">
              <w:rPr>
                <w:rFonts w:ascii="ＭＳ ゴシック" w:eastAsia="ＭＳ ゴシック" w:hAnsi="ＭＳ ゴシック" w:hint="eastAsia"/>
                <w:sz w:val="20"/>
              </w:rPr>
              <w:t>火気を避けて保管すること</w:t>
            </w:r>
            <w:r w:rsidR="007D4F1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4B5B4DFB" w14:textId="77777777" w:rsidTr="00A2428A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30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309" w:type="dxa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199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18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A2428A">
        <w:trPr>
          <w:cantSplit/>
          <w:trHeight w:val="1355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vAlign w:val="center"/>
          </w:tcPr>
          <w:p w14:paraId="00953C59" w14:textId="620E496C" w:rsidR="000639F2" w:rsidRPr="00FB1012" w:rsidRDefault="0093395F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2309" w:type="dxa"/>
            <w:vAlign w:val="center"/>
          </w:tcPr>
          <w:p w14:paraId="227BF7B3" w14:textId="0F7B8546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D3A04E" wp14:editId="65A987B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968375" cy="968375"/>
                  <wp:effectExtent l="0" t="0" r="3175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BA0D0" w14:textId="4E1EF8B9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8473CF5" w14:textId="2FFA36E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D1A1D95" w14:textId="5DED9DCA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FCB4537" w14:textId="342B5255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D024A63" w14:textId="5BECAB0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16B11ED" w14:textId="77777777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0A28190E" w14:textId="517AA4B0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199" w:type="dxa"/>
            <w:vAlign w:val="center"/>
          </w:tcPr>
          <w:p w14:paraId="3F55E130" w14:textId="655BD808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CACC3A1" w14:textId="28AAE362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BD7647">
              <w:rPr>
                <w:rFonts w:ascii="ＭＳ ゴシック" w:eastAsia="ＭＳ ゴシック" w:hAnsi="ＭＳ ゴシック" w:hint="eastAsia"/>
                <w:sz w:val="20"/>
              </w:rPr>
              <w:t>FBS</w:t>
            </w:r>
          </w:p>
        </w:tc>
      </w:tr>
      <w:tr w:rsidR="000639F2" w:rsidRPr="00FB1012" w14:paraId="213F7A5E" w14:textId="77777777" w:rsidTr="00A2428A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30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40F3791" w14:textId="5DEB421F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5C2FF864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6E19A6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3FFAF9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076718A9" w14:textId="691E06E2" w:rsidR="000639F2" w:rsidRPr="00BD76F4" w:rsidRDefault="00F40735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25g</w:t>
            </w:r>
          </w:p>
        </w:tc>
        <w:tc>
          <w:tcPr>
            <w:tcW w:w="319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093268E8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A2428A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05DBD43B" w:rsidR="004D1A1A" w:rsidRPr="0060090A" w:rsidRDefault="007A65CD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 w:rsidR="00F0323F"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575AE43D" w:rsidR="004D1A1A" w:rsidRDefault="007A65CD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67A0CF46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7A65CD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A2428A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E87D06" w:rsidRDefault="00FC14B4" w:rsidP="00CD1B4A"/>
    <w:sectPr w:rsidR="00E87D06" w:rsidSect="0093705F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3B9D9" w14:textId="77777777" w:rsidR="00E820A7" w:rsidRDefault="00E820A7" w:rsidP="00982A6E">
      <w:pPr>
        <w:spacing w:line="240" w:lineRule="auto"/>
      </w:pPr>
      <w:r>
        <w:separator/>
      </w:r>
    </w:p>
  </w:endnote>
  <w:endnote w:type="continuationSeparator" w:id="0">
    <w:p w14:paraId="4A96511E" w14:textId="77777777" w:rsidR="00E820A7" w:rsidRDefault="00E820A7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FE705" w14:textId="77777777" w:rsidR="00E820A7" w:rsidRDefault="00E820A7" w:rsidP="00982A6E">
      <w:pPr>
        <w:spacing w:line="240" w:lineRule="auto"/>
      </w:pPr>
      <w:r>
        <w:separator/>
      </w:r>
    </w:p>
  </w:footnote>
  <w:footnote w:type="continuationSeparator" w:id="0">
    <w:p w14:paraId="7FB5AE4D" w14:textId="77777777" w:rsidR="00E820A7" w:rsidRDefault="00E820A7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E66E" w14:textId="667FE0BB" w:rsidR="00982A6E" w:rsidRPr="00CF5DFD" w:rsidRDefault="00982A6E">
    <w:pPr>
      <w:pStyle w:val="a3"/>
      <w:rPr>
        <w:rFonts w:asciiTheme="majorEastAsia" w:eastAsiaTheme="majorEastAsia" w:hAnsiTheme="majorEastAsia"/>
      </w:rPr>
    </w:pPr>
    <w:r w:rsidRPr="00CF5DFD">
      <w:rPr>
        <w:rFonts w:asciiTheme="majorEastAsia" w:eastAsiaTheme="majorEastAsia" w:hAnsiTheme="majorEastAsia"/>
      </w:rPr>
      <w:ptab w:relativeTo="margin" w:alignment="center" w:leader="none"/>
    </w:r>
    <w:r w:rsidRPr="00CF5DFD">
      <w:rPr>
        <w:rFonts w:asciiTheme="majorEastAsia" w:eastAsiaTheme="majorEastAsia" w:hAnsiTheme="majorEastAsia"/>
      </w:rPr>
      <w:ptab w:relativeTo="margin" w:alignment="right" w:leader="none"/>
    </w:r>
    <w:r w:rsidR="002104D5" w:rsidRPr="00CF5DFD">
      <w:rPr>
        <w:rFonts w:asciiTheme="majorEastAsia" w:eastAsiaTheme="majorEastAsia" w:hAnsiTheme="majorEastAsia"/>
      </w:rPr>
      <w:t>20</w:t>
    </w:r>
    <w:r w:rsidR="00BA576E" w:rsidRPr="00CF5DFD">
      <w:rPr>
        <w:rFonts w:asciiTheme="majorEastAsia" w:eastAsiaTheme="majorEastAsia" w:hAnsiTheme="majorEastAsia" w:hint="eastAsia"/>
      </w:rPr>
      <w:t>20</w:t>
    </w:r>
    <w:r w:rsidR="002104D5" w:rsidRPr="00CF5DFD">
      <w:rPr>
        <w:rFonts w:asciiTheme="majorEastAsia" w:eastAsiaTheme="majorEastAsia" w:hAnsiTheme="majorEastAsia" w:hint="eastAsia"/>
      </w:rPr>
      <w:t>年</w:t>
    </w:r>
    <w:r w:rsidR="0093395F" w:rsidRPr="00CF5DFD">
      <w:rPr>
        <w:rFonts w:asciiTheme="majorEastAsia" w:eastAsiaTheme="majorEastAsia" w:hAnsiTheme="majorEastAsia" w:hint="eastAsia"/>
      </w:rPr>
      <w:t>12</w:t>
    </w:r>
    <w:r w:rsidR="002104D5" w:rsidRPr="00CF5DFD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82DE3"/>
    <w:rsid w:val="00185F06"/>
    <w:rsid w:val="001A19F4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4530C"/>
    <w:rsid w:val="003466AE"/>
    <w:rsid w:val="00361217"/>
    <w:rsid w:val="00375201"/>
    <w:rsid w:val="00377FD2"/>
    <w:rsid w:val="003840C4"/>
    <w:rsid w:val="00392863"/>
    <w:rsid w:val="003A0963"/>
    <w:rsid w:val="003D3947"/>
    <w:rsid w:val="00400DB2"/>
    <w:rsid w:val="00433262"/>
    <w:rsid w:val="00461EA9"/>
    <w:rsid w:val="00477B17"/>
    <w:rsid w:val="00481106"/>
    <w:rsid w:val="00492208"/>
    <w:rsid w:val="004B484A"/>
    <w:rsid w:val="004B568E"/>
    <w:rsid w:val="004D1A1A"/>
    <w:rsid w:val="004D43B8"/>
    <w:rsid w:val="004E4D46"/>
    <w:rsid w:val="00527AD8"/>
    <w:rsid w:val="005529EF"/>
    <w:rsid w:val="00581815"/>
    <w:rsid w:val="005864E1"/>
    <w:rsid w:val="005E3FDA"/>
    <w:rsid w:val="005F2518"/>
    <w:rsid w:val="0060090A"/>
    <w:rsid w:val="00602400"/>
    <w:rsid w:val="006050F3"/>
    <w:rsid w:val="006053D7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6F2807"/>
    <w:rsid w:val="00703BBC"/>
    <w:rsid w:val="00722069"/>
    <w:rsid w:val="00742041"/>
    <w:rsid w:val="00755975"/>
    <w:rsid w:val="007572EE"/>
    <w:rsid w:val="00762842"/>
    <w:rsid w:val="00762CA1"/>
    <w:rsid w:val="00775F69"/>
    <w:rsid w:val="007812D2"/>
    <w:rsid w:val="007A65CD"/>
    <w:rsid w:val="007D4F15"/>
    <w:rsid w:val="007E2631"/>
    <w:rsid w:val="007F48FF"/>
    <w:rsid w:val="007F4FE1"/>
    <w:rsid w:val="00806DE6"/>
    <w:rsid w:val="0081482F"/>
    <w:rsid w:val="00830639"/>
    <w:rsid w:val="00865DAE"/>
    <w:rsid w:val="008838A8"/>
    <w:rsid w:val="008A1C72"/>
    <w:rsid w:val="008B45E9"/>
    <w:rsid w:val="008C4814"/>
    <w:rsid w:val="008F57B3"/>
    <w:rsid w:val="008F6C99"/>
    <w:rsid w:val="00900BBB"/>
    <w:rsid w:val="0093395F"/>
    <w:rsid w:val="00936808"/>
    <w:rsid w:val="0093705F"/>
    <w:rsid w:val="00956284"/>
    <w:rsid w:val="00957FB3"/>
    <w:rsid w:val="00963867"/>
    <w:rsid w:val="00982A6E"/>
    <w:rsid w:val="00984916"/>
    <w:rsid w:val="00992B1A"/>
    <w:rsid w:val="00A03EE3"/>
    <w:rsid w:val="00A23320"/>
    <w:rsid w:val="00A2428A"/>
    <w:rsid w:val="00A25BEE"/>
    <w:rsid w:val="00A3173D"/>
    <w:rsid w:val="00A633D8"/>
    <w:rsid w:val="00A749AF"/>
    <w:rsid w:val="00A946B7"/>
    <w:rsid w:val="00AA5B0C"/>
    <w:rsid w:val="00AC18CB"/>
    <w:rsid w:val="00AC4D00"/>
    <w:rsid w:val="00AC6312"/>
    <w:rsid w:val="00AD43C2"/>
    <w:rsid w:val="00B12166"/>
    <w:rsid w:val="00B33A32"/>
    <w:rsid w:val="00B706FF"/>
    <w:rsid w:val="00B91B7F"/>
    <w:rsid w:val="00B94E84"/>
    <w:rsid w:val="00B9568B"/>
    <w:rsid w:val="00BA4CFF"/>
    <w:rsid w:val="00BA576E"/>
    <w:rsid w:val="00BB6792"/>
    <w:rsid w:val="00BC08F2"/>
    <w:rsid w:val="00BC6654"/>
    <w:rsid w:val="00BD02D5"/>
    <w:rsid w:val="00BD0C5D"/>
    <w:rsid w:val="00BD10E0"/>
    <w:rsid w:val="00BD7647"/>
    <w:rsid w:val="00BD76F4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CF5DFD"/>
    <w:rsid w:val="00D044F2"/>
    <w:rsid w:val="00D05FE4"/>
    <w:rsid w:val="00D16AE8"/>
    <w:rsid w:val="00D47EAE"/>
    <w:rsid w:val="00D527D5"/>
    <w:rsid w:val="00D5312D"/>
    <w:rsid w:val="00D67232"/>
    <w:rsid w:val="00D82D74"/>
    <w:rsid w:val="00D8716F"/>
    <w:rsid w:val="00D87944"/>
    <w:rsid w:val="00D957FC"/>
    <w:rsid w:val="00DB33E7"/>
    <w:rsid w:val="00DB4382"/>
    <w:rsid w:val="00DC0C26"/>
    <w:rsid w:val="00DC31DD"/>
    <w:rsid w:val="00DE09EF"/>
    <w:rsid w:val="00DE3B49"/>
    <w:rsid w:val="00DF269D"/>
    <w:rsid w:val="00E1308B"/>
    <w:rsid w:val="00E16692"/>
    <w:rsid w:val="00E54C82"/>
    <w:rsid w:val="00E70EAB"/>
    <w:rsid w:val="00E820A7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C14B4"/>
    <w:rsid w:val="00FD03BC"/>
    <w:rsid w:val="00FD3C62"/>
    <w:rsid w:val="00FD541C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39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39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395F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9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395F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9A30-06C7-4A1B-8A57-333BB94F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14</cp:revision>
  <cp:lastPrinted>2018-08-08T08:32:00Z</cp:lastPrinted>
  <dcterms:created xsi:type="dcterms:W3CDTF">2020-10-14T04:29:00Z</dcterms:created>
  <dcterms:modified xsi:type="dcterms:W3CDTF">2020-11-26T10:51:00Z</dcterms:modified>
</cp:coreProperties>
</file>