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19186"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4088F88"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177723AF"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3EC50CC1" w14:textId="77777777" w:rsidTr="003F20F5">
        <w:tc>
          <w:tcPr>
            <w:tcW w:w="9968" w:type="dxa"/>
            <w:gridSpan w:val="2"/>
          </w:tcPr>
          <w:p w14:paraId="50A0AAC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8C0708E" w14:textId="77777777" w:rsidTr="009166E6">
        <w:trPr>
          <w:trHeight w:val="1134"/>
        </w:trPr>
        <w:tc>
          <w:tcPr>
            <w:tcW w:w="7807" w:type="dxa"/>
          </w:tcPr>
          <w:p w14:paraId="28872E3E"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フェルビナクテープ</w:t>
            </w:r>
            <w:r w:rsidRPr="000600ED">
              <w:rPr>
                <w:rFonts w:asciiTheme="majorEastAsia" w:eastAsiaTheme="majorEastAsia" w:hAnsiTheme="majorEastAsia"/>
                <w:b/>
                <w:sz w:val="24"/>
                <w:szCs w:val="24"/>
              </w:rPr>
              <w:t>35mg</w:t>
            </w:r>
            <w:r w:rsidRPr="000600ED">
              <w:rPr>
                <w:rFonts w:asciiTheme="majorEastAsia" w:eastAsiaTheme="majorEastAsia" w:hAnsiTheme="majorEastAsia" w:hint="eastAsia"/>
                <w:b/>
                <w:sz w:val="24"/>
                <w:szCs w:val="24"/>
              </w:rPr>
              <w:t>「三笠」</w:t>
            </w:r>
          </w:p>
          <w:p w14:paraId="6505CA1A"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フェルビナク</w:t>
            </w:r>
            <w:r w:rsidRPr="000600ED">
              <w:rPr>
                <w:rFonts w:asciiTheme="minorEastAsia" w:hAnsiTheme="minorEastAsia"/>
                <w:sz w:val="20"/>
                <w:szCs w:val="20"/>
              </w:rPr>
              <w:t>(Felbinac)</w:t>
            </w:r>
          </w:p>
          <w:p w14:paraId="2A272F86"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微黄色半透明～黄色半透明の貼付剤、大きさ</w:t>
            </w:r>
            <w:r w:rsidRPr="000600ED">
              <w:rPr>
                <w:rFonts w:asciiTheme="minorEastAsia" w:hAnsiTheme="minorEastAsia"/>
                <w:sz w:val="20"/>
                <w:szCs w:val="20"/>
              </w:rPr>
              <w:t>7cm</w:t>
            </w:r>
            <w:r w:rsidRPr="000600ED">
              <w:rPr>
                <w:rFonts w:asciiTheme="minorEastAsia" w:hAnsiTheme="minorEastAsia" w:hint="eastAsia"/>
                <w:sz w:val="20"/>
                <w:szCs w:val="20"/>
              </w:rPr>
              <w:t>×</w:t>
            </w:r>
            <w:r w:rsidRPr="000600ED">
              <w:rPr>
                <w:rFonts w:asciiTheme="minorEastAsia" w:hAnsiTheme="minorEastAsia"/>
                <w:sz w:val="20"/>
                <w:szCs w:val="20"/>
              </w:rPr>
              <w:t>10cm</w:t>
            </w:r>
            <w:r w:rsidRPr="000600ED">
              <w:rPr>
                <w:rFonts w:asciiTheme="minorEastAsia" w:hAnsiTheme="minorEastAsia" w:hint="eastAsia"/>
                <w:sz w:val="20"/>
                <w:szCs w:val="20"/>
              </w:rPr>
              <w:t>、支持体（肌色）</w:t>
            </w:r>
          </w:p>
          <w:p w14:paraId="3C56E69F"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MZ-FBT35</w:t>
            </w:r>
          </w:p>
        </w:tc>
        <w:tc>
          <w:tcPr>
            <w:tcW w:w="2161" w:type="dxa"/>
          </w:tcPr>
          <w:p w14:paraId="6CDA2B6A"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89EE054" wp14:editId="3210F0F3">
                  <wp:extent cx="8953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647700"/>
                          </a:xfrm>
                          <a:prstGeom prst="rect">
                            <a:avLst/>
                          </a:prstGeom>
                          <a:noFill/>
                          <a:ln>
                            <a:noFill/>
                          </a:ln>
                        </pic:spPr>
                      </pic:pic>
                    </a:graphicData>
                  </a:graphic>
                </wp:inline>
              </w:drawing>
            </w:r>
          </w:p>
        </w:tc>
      </w:tr>
      <w:tr w:rsidR="00D24830" w14:paraId="74266730" w14:textId="77777777" w:rsidTr="003F20F5">
        <w:tc>
          <w:tcPr>
            <w:tcW w:w="9968" w:type="dxa"/>
            <w:gridSpan w:val="2"/>
          </w:tcPr>
          <w:p w14:paraId="59AAB28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490C98E" w14:textId="77777777" w:rsidR="00000000" w:rsidRDefault="000600ED" w:rsidP="003F20F5">
            <w:pPr>
              <w:ind w:leftChars="100" w:left="210"/>
              <w:jc w:val="left"/>
            </w:pPr>
            <w:r w:rsidRPr="000600ED">
              <w:rPr>
                <w:rFonts w:asciiTheme="minorEastAsia" w:hAnsiTheme="minorEastAsia" w:hint="eastAsia"/>
                <w:sz w:val="20"/>
                <w:szCs w:val="20"/>
              </w:rPr>
              <w:t>皮膚から吸収され、体内でつくられるプロスタグランジンの合成を抑え、炎症に伴う腫れや痛みをやわらげます。</w:t>
            </w:r>
          </w:p>
          <w:p w14:paraId="41910981"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通常、変形性関節症、肩関節周囲炎、腱・腱鞘炎、腱周囲炎、上腕骨上顆炎（テニス肘など）、筋肉痛、外傷後の腫脹・疼痛の治療に用いられます。</w:t>
            </w:r>
          </w:p>
        </w:tc>
      </w:tr>
      <w:tr w:rsidR="00D24830" w14:paraId="4503D4A4" w14:textId="77777777" w:rsidTr="003F20F5">
        <w:tc>
          <w:tcPr>
            <w:tcW w:w="9968" w:type="dxa"/>
            <w:gridSpan w:val="2"/>
          </w:tcPr>
          <w:p w14:paraId="005187A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52CE3589"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・以前に薬を使用して、かゆみ、発疹などのアレルギー症状が出たことがある。アスピリン喘息またはその既往歴、気管支喘息がある。</w:t>
            </w:r>
          </w:p>
          <w:p w14:paraId="4BE8AC20"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38202A4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16FDD27" w14:textId="77777777" w:rsidTr="003F20F5">
        <w:trPr>
          <w:trHeight w:val="788"/>
        </w:trPr>
        <w:tc>
          <w:tcPr>
            <w:tcW w:w="9968" w:type="dxa"/>
            <w:gridSpan w:val="2"/>
          </w:tcPr>
          <w:p w14:paraId="3F017D6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734D2DA"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089C765"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回患部に貼付します。必ず指示された使用方法に従ってください。</w:t>
            </w:r>
          </w:p>
          <w:p w14:paraId="40B32B22" w14:textId="77777777" w:rsidR="00000000" w:rsidRDefault="000600ED" w:rsidP="001456F1">
            <w:pPr>
              <w:ind w:leftChars="100" w:left="410" w:hangingChars="100" w:hanging="200"/>
            </w:pPr>
            <w:r w:rsidRPr="000600ED">
              <w:rPr>
                <w:rFonts w:asciiTheme="minorEastAsia" w:hAnsiTheme="minorEastAsia" w:hint="eastAsia"/>
                <w:sz w:val="20"/>
                <w:szCs w:val="20"/>
              </w:rPr>
              <w:t>・患部を清潔にし、透明のフィルムをはがして患部に貼ってください。傷口や粘膜、湿疹または発疹のある部位には貼らないでください。</w:t>
            </w:r>
          </w:p>
          <w:p w14:paraId="348A8F18" w14:textId="77777777" w:rsidR="00000000" w:rsidRDefault="000600ED" w:rsidP="001456F1">
            <w:pPr>
              <w:ind w:leftChars="100" w:left="410" w:hangingChars="100" w:hanging="200"/>
            </w:pPr>
            <w:r w:rsidRPr="000600ED">
              <w:rPr>
                <w:rFonts w:asciiTheme="minorEastAsia" w:hAnsiTheme="minorEastAsia" w:hint="eastAsia"/>
                <w:sz w:val="20"/>
                <w:szCs w:val="20"/>
              </w:rPr>
              <w:t>・貼り忘れた場合は、気が付いた時にすぐに貼りかえてください。ただし、次の貼りかえの時間に近い場合は、忘れた分を抜き、次回より指示どおり貼ってください。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回分を一度に貼ってはいけません。</w:t>
            </w:r>
          </w:p>
          <w:p w14:paraId="42A0658F"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1E64F0A0"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・医師の指示なしに、自分の判断で使うのを止めないでください。</w:t>
            </w:r>
          </w:p>
        </w:tc>
      </w:tr>
      <w:tr w:rsidR="00D24830" w14:paraId="2CA0FE65" w14:textId="77777777" w:rsidTr="003F20F5">
        <w:tc>
          <w:tcPr>
            <w:tcW w:w="9968" w:type="dxa"/>
            <w:gridSpan w:val="2"/>
          </w:tcPr>
          <w:p w14:paraId="5B83EF6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6F83C171" w14:textId="77777777" w:rsidR="00D24830" w:rsidRPr="000600ED" w:rsidRDefault="00D24830" w:rsidP="003F20F5">
            <w:pPr>
              <w:ind w:leftChars="100" w:left="410" w:hangingChars="100" w:hanging="200"/>
              <w:jc w:val="left"/>
              <w:rPr>
                <w:rFonts w:asciiTheme="minorEastAsia"/>
                <w:sz w:val="20"/>
                <w:szCs w:val="20"/>
              </w:rPr>
            </w:pPr>
          </w:p>
        </w:tc>
      </w:tr>
      <w:tr w:rsidR="00D24830" w14:paraId="7A901779" w14:textId="77777777" w:rsidTr="003F20F5">
        <w:tc>
          <w:tcPr>
            <w:tcW w:w="9968" w:type="dxa"/>
            <w:gridSpan w:val="2"/>
          </w:tcPr>
          <w:p w14:paraId="374C235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EF562E0"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主な副作用として、皮膚炎（発疹、湿疹）、かゆみ、発赤、接触皮膚炎（かぶれ）、刺激感、水疱などが報告されています。このような症状に気づいたら、担当の医師または薬剤師に相談してください。</w:t>
            </w:r>
          </w:p>
          <w:p w14:paraId="26DF1F2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8BA73F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4003E1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・蕁麻疹、血管浮腫、呼吸困難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185B1DB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2CB720E1" w14:textId="77777777" w:rsidTr="003F20F5">
        <w:tc>
          <w:tcPr>
            <w:tcW w:w="9968" w:type="dxa"/>
            <w:gridSpan w:val="2"/>
          </w:tcPr>
          <w:p w14:paraId="04E171E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7DC330A"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・乳幼児、小児の手の届かないところで、光、高温、湿気を避け、開封後はチャックを閉めて保管してください。</w:t>
            </w:r>
          </w:p>
          <w:p w14:paraId="359EEB5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7B748674" w14:textId="77777777" w:rsidTr="003F20F5">
        <w:tc>
          <w:tcPr>
            <w:tcW w:w="9968" w:type="dxa"/>
            <w:gridSpan w:val="2"/>
          </w:tcPr>
          <w:p w14:paraId="08751B07"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F9A935E" w14:textId="77777777" w:rsidR="00D24830" w:rsidRDefault="00D24830" w:rsidP="003F20F5">
            <w:pPr>
              <w:rPr>
                <w:rFonts w:asciiTheme="minorEastAsia"/>
                <w:sz w:val="20"/>
                <w:szCs w:val="20"/>
              </w:rPr>
            </w:pPr>
          </w:p>
          <w:p w14:paraId="38143CFD" w14:textId="77777777" w:rsidR="00D24830" w:rsidRPr="007D422F" w:rsidRDefault="00D24830" w:rsidP="003F20F5">
            <w:pPr>
              <w:rPr>
                <w:rFonts w:asciiTheme="majorEastAsia" w:eastAsiaTheme="majorEastAsia" w:hAnsiTheme="majorEastAsia"/>
                <w:sz w:val="20"/>
                <w:szCs w:val="20"/>
              </w:rPr>
            </w:pPr>
          </w:p>
        </w:tc>
      </w:tr>
    </w:tbl>
    <w:p w14:paraId="40571A75"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B3AF2" w14:textId="77777777" w:rsidR="00BF4C04" w:rsidRDefault="00BF4C04" w:rsidP="005676BB">
      <w:r>
        <w:separator/>
      </w:r>
    </w:p>
  </w:endnote>
  <w:endnote w:type="continuationSeparator" w:id="0">
    <w:p w14:paraId="084DE35B" w14:textId="77777777" w:rsidR="00BF4C04" w:rsidRDefault="00BF4C04"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F8C11"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3EF85" w14:textId="77777777" w:rsidR="00BF4C04" w:rsidRDefault="00BF4C04" w:rsidP="005676BB">
      <w:r>
        <w:separator/>
      </w:r>
    </w:p>
  </w:footnote>
  <w:footnote w:type="continuationSeparator" w:id="0">
    <w:p w14:paraId="0E1E7583" w14:textId="77777777" w:rsidR="00BF4C04" w:rsidRDefault="00BF4C04"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047FF"/>
    <w:rsid w:val="000600ED"/>
    <w:rsid w:val="001103E5"/>
    <w:rsid w:val="001456F1"/>
    <w:rsid w:val="001D7781"/>
    <w:rsid w:val="002209A5"/>
    <w:rsid w:val="002376F2"/>
    <w:rsid w:val="002A4A81"/>
    <w:rsid w:val="003071A2"/>
    <w:rsid w:val="003333EC"/>
    <w:rsid w:val="003F20F5"/>
    <w:rsid w:val="00547602"/>
    <w:rsid w:val="005676BB"/>
    <w:rsid w:val="006A40B0"/>
    <w:rsid w:val="00764B98"/>
    <w:rsid w:val="007B113F"/>
    <w:rsid w:val="007D422F"/>
    <w:rsid w:val="008B2922"/>
    <w:rsid w:val="009166E6"/>
    <w:rsid w:val="00A31947"/>
    <w:rsid w:val="00AB2DE2"/>
    <w:rsid w:val="00BB5781"/>
    <w:rsid w:val="00BF4C04"/>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6AC5F9"/>
  <w14:defaultImageDpi w14:val="0"/>
  <w15:docId w15:val="{B317B19E-9D61-4427-BFD0-7FF6570C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2020-12-16T00:31:00Z</dcterms:created>
  <dcterms:modified xsi:type="dcterms:W3CDTF">2020-12-16T00:31:00Z</dcterms:modified>
</cp:coreProperties>
</file>