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9D2E"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804B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559"/>
        <w:gridCol w:w="3544"/>
        <w:gridCol w:w="1276"/>
      </w:tblGrid>
      <w:tr w:rsidR="000639F2" w:rsidRPr="00FB1012" w14:paraId="59904C02" w14:textId="77777777" w:rsidTr="00D957FC">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6834EE">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C11053">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2"/>
            <w:tcBorders>
              <w:left w:val="single" w:sz="18" w:space="0" w:color="auto"/>
            </w:tcBorders>
            <w:vAlign w:val="center"/>
          </w:tcPr>
          <w:p w14:paraId="6EBA7551" w14:textId="77777777" w:rsidR="000639F2" w:rsidRPr="00FB1012" w:rsidRDefault="00FA003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スミル外用ポンプスプレー</w:t>
            </w:r>
            <w:r w:rsidR="00617D83">
              <w:rPr>
                <w:rFonts w:ascii="ＭＳ ゴシック" w:eastAsia="ＭＳ ゴシック" w:hAnsi="ＭＳ ゴシック" w:hint="eastAsia"/>
                <w:sz w:val="20"/>
              </w:rPr>
              <w:t>3</w:t>
            </w:r>
            <w:r w:rsidR="00617D83">
              <w:rPr>
                <w:rFonts w:ascii="ＭＳ ゴシック" w:eastAsia="ＭＳ ゴシック" w:hAnsi="ＭＳ ゴシック"/>
                <w:sz w:val="20"/>
              </w:rPr>
              <w:t>%</w:t>
            </w:r>
          </w:p>
        </w:tc>
        <w:tc>
          <w:tcPr>
            <w:tcW w:w="4820" w:type="dxa"/>
            <w:gridSpan w:val="2"/>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9F49A9">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2"/>
            <w:tcBorders>
              <w:left w:val="single" w:sz="18" w:space="0" w:color="auto"/>
            </w:tcBorders>
            <w:vAlign w:val="center"/>
          </w:tcPr>
          <w:p w14:paraId="5F2EBBE9" w14:textId="7CF96E11" w:rsidR="000639F2" w:rsidRPr="00FB1012" w:rsidRDefault="005954F0" w:rsidP="00F437A3">
            <w:pPr>
              <w:spacing w:line="240" w:lineRule="auto"/>
              <w:jc w:val="center"/>
              <w:rPr>
                <w:rFonts w:ascii="ＭＳ ゴシック" w:eastAsia="ＭＳ ゴシック" w:hAnsi="ＭＳ ゴシック"/>
                <w:sz w:val="20"/>
              </w:rPr>
            </w:pPr>
            <w:r w:rsidRPr="005954F0">
              <w:rPr>
                <w:rFonts w:ascii="ＭＳ ゴシック" w:eastAsia="ＭＳ ゴシック" w:hAnsi="ＭＳ ゴシック"/>
                <w:sz w:val="20"/>
              </w:rPr>
              <w:t>6.1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820" w:type="dxa"/>
            <w:gridSpan w:val="2"/>
            <w:tcBorders>
              <w:right w:val="single" w:sz="18" w:space="0" w:color="auto"/>
            </w:tcBorders>
            <w:vAlign w:val="center"/>
          </w:tcPr>
          <w:p w14:paraId="1EEBB390" w14:textId="0F72F9A8" w:rsidR="000639F2" w:rsidRPr="00BC266A" w:rsidRDefault="005954F0" w:rsidP="00F437A3">
            <w:pPr>
              <w:spacing w:line="240" w:lineRule="auto"/>
              <w:ind w:rightChars="76" w:right="182"/>
              <w:jc w:val="center"/>
              <w:rPr>
                <w:rFonts w:ascii="ＭＳ ゴシック" w:eastAsia="ＭＳ ゴシック" w:hAnsi="ＭＳ ゴシック"/>
                <w:sz w:val="20"/>
              </w:rPr>
            </w:pPr>
            <w:r w:rsidRPr="005954F0">
              <w:rPr>
                <w:rFonts w:ascii="ＭＳ ゴシック" w:eastAsia="ＭＳ ゴシック" w:hAnsi="ＭＳ ゴシック"/>
                <w:sz w:val="20"/>
              </w:rPr>
              <w:t>6.80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5C6D28" w:rsidRPr="00FB1012" w14:paraId="2381F5B4" w14:textId="77777777" w:rsidTr="0075619E">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414" w:type="dxa"/>
            <w:gridSpan w:val="2"/>
            <w:tcBorders>
              <w:left w:val="single" w:sz="18" w:space="0" w:color="auto"/>
              <w:bottom w:val="single" w:sz="4" w:space="0" w:color="auto"/>
              <w:right w:val="single" w:sz="4" w:space="0" w:color="auto"/>
            </w:tcBorders>
            <w:vAlign w:val="center"/>
          </w:tcPr>
          <w:p w14:paraId="42302B35" w14:textId="77777777"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症状により、適量を１日数回患部に噴霧</w:t>
            </w:r>
            <w:r w:rsidRPr="00781627">
              <w:rPr>
                <w:rFonts w:ascii="ＭＳ ゴシック" w:eastAsia="ＭＳ ゴシック" w:hAnsi="ＭＳ ゴシック" w:hint="eastAsia"/>
                <w:sz w:val="20"/>
              </w:rPr>
              <w:t>する。</w:t>
            </w:r>
          </w:p>
        </w:tc>
        <w:tc>
          <w:tcPr>
            <w:tcW w:w="4820" w:type="dxa"/>
            <w:gridSpan w:val="2"/>
            <w:tcBorders>
              <w:left w:val="single" w:sz="4" w:space="0" w:color="auto"/>
              <w:bottom w:val="single" w:sz="4" w:space="0" w:color="auto"/>
              <w:right w:val="single" w:sz="18" w:space="0" w:color="auto"/>
            </w:tcBorders>
            <w:vAlign w:val="center"/>
          </w:tcPr>
          <w:p w14:paraId="4CF664B3" w14:textId="77777777"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症状により、適量を１日数回患部に塗布する。</w:t>
            </w:r>
          </w:p>
        </w:tc>
      </w:tr>
      <w:tr w:rsidR="000639F2" w:rsidRPr="00FB1012" w14:paraId="06BBB958" w14:textId="77777777" w:rsidTr="00D85EB3">
        <w:trPr>
          <w:trHeight w:val="704"/>
        </w:trPr>
        <w:tc>
          <w:tcPr>
            <w:tcW w:w="1540" w:type="dxa"/>
            <w:tcBorders>
              <w:left w:val="single" w:sz="18" w:space="0" w:color="auto"/>
              <w:bottom w:val="single" w:sz="4" w:space="0" w:color="auto"/>
              <w:right w:val="single" w:sz="18" w:space="0" w:color="auto"/>
            </w:tcBorders>
            <w:vAlign w:val="center"/>
          </w:tcPr>
          <w:p w14:paraId="4BBBC99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2"/>
            <w:tcBorders>
              <w:left w:val="single" w:sz="18" w:space="0" w:color="auto"/>
              <w:bottom w:val="single" w:sz="4" w:space="0" w:color="auto"/>
              <w:right w:val="single" w:sz="4" w:space="0" w:color="auto"/>
            </w:tcBorders>
            <w:vAlign w:val="center"/>
          </w:tcPr>
          <w:p w14:paraId="4BF401B9" w14:textId="0B184DDB" w:rsidR="000639F2" w:rsidRPr="00FB1012" w:rsidRDefault="00050D7F" w:rsidP="007934E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820" w:type="dxa"/>
            <w:gridSpan w:val="2"/>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27599D">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410C00DE" w14:textId="1754B3DD" w:rsidR="00216079" w:rsidRDefault="00E818E8"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外箱等の表示を参照（</w:t>
            </w:r>
            <w:r w:rsidR="006570F0">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r>
              <w:rPr>
                <w:rFonts w:ascii="ＭＳ ゴシック" w:eastAsia="ＭＳ ゴシック" w:hAnsi="ＭＳ ゴシック" w:hint="eastAsia"/>
                <w:sz w:val="20"/>
              </w:rPr>
              <w:t>）</w:t>
            </w:r>
          </w:p>
          <w:p w14:paraId="048A2BE7" w14:textId="77777777" w:rsidR="00A946B7" w:rsidRPr="00AF32C9" w:rsidRDefault="006570F0"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気密容器、</w:t>
            </w:r>
            <w:r w:rsidR="00A946B7">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4A8EB919" w:rsidR="00E818E8" w:rsidRDefault="00E818E8"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最終年月を外箱等に記載</w:t>
            </w:r>
          </w:p>
          <w:p w14:paraId="20149057" w14:textId="77777777"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p>
        </w:tc>
      </w:tr>
      <w:tr w:rsidR="000639F2" w:rsidRPr="00FB1012" w14:paraId="3259AF35" w14:textId="77777777" w:rsidTr="00EF2DCA">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888EE19"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559" w:type="dxa"/>
            <w:tcBorders>
              <w:top w:val="double" w:sz="12" w:space="0" w:color="000000"/>
            </w:tcBorders>
            <w:vAlign w:val="center"/>
          </w:tcPr>
          <w:p w14:paraId="182329E6"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sidR="007E4404">
              <w:rPr>
                <w:rFonts w:ascii="ＭＳ ゴシック" w:eastAsia="ＭＳ ゴシック" w:hAnsi="ＭＳ ゴシック" w:hint="eastAsia"/>
                <w:sz w:val="20"/>
              </w:rPr>
              <w:t>・容　量</w:t>
            </w:r>
          </w:p>
        </w:tc>
        <w:tc>
          <w:tcPr>
            <w:tcW w:w="3544" w:type="dxa"/>
            <w:tcBorders>
              <w:top w:val="double" w:sz="12" w:space="0" w:color="000000"/>
            </w:tcBorders>
            <w:vAlign w:val="center"/>
          </w:tcPr>
          <w:p w14:paraId="180B16DA"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276" w:type="dxa"/>
            <w:tcBorders>
              <w:top w:val="double" w:sz="12" w:space="0" w:color="000000"/>
              <w:right w:val="single" w:sz="18" w:space="0" w:color="auto"/>
            </w:tcBorders>
            <w:vAlign w:val="center"/>
          </w:tcPr>
          <w:p w14:paraId="7C7868CE"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3A8677B7" w14:textId="77777777" w:rsidTr="00EF2DCA">
        <w:trPr>
          <w:cantSplit/>
          <w:trHeight w:val="2374"/>
        </w:trPr>
        <w:tc>
          <w:tcPr>
            <w:tcW w:w="1540" w:type="dxa"/>
            <w:vMerge/>
            <w:tcBorders>
              <w:left w:val="single" w:sz="18" w:space="0" w:color="auto"/>
              <w:right w:val="single" w:sz="18" w:space="0" w:color="auto"/>
            </w:tcBorders>
            <w:vAlign w:val="center"/>
          </w:tcPr>
          <w:p w14:paraId="35A34E36"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54FC2BCF" w14:textId="77777777" w:rsidR="000639F2" w:rsidRPr="00FB1012" w:rsidRDefault="00CA3635" w:rsidP="00CA363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スミル外用ポンプスプレー</w:t>
            </w:r>
            <w:r w:rsidR="00A946B7" w:rsidRPr="00A946B7">
              <w:rPr>
                <w:rFonts w:ascii="ＭＳ ゴシック" w:eastAsia="ＭＳ ゴシック" w:hAnsi="ＭＳ ゴシック" w:hint="eastAsia"/>
                <w:sz w:val="20"/>
              </w:rPr>
              <w:t>3%</w:t>
            </w:r>
          </w:p>
        </w:tc>
        <w:tc>
          <w:tcPr>
            <w:tcW w:w="1559" w:type="dxa"/>
            <w:vAlign w:val="center"/>
          </w:tcPr>
          <w:p w14:paraId="692974E5" w14:textId="77777777" w:rsidR="000639F2" w:rsidRDefault="002C304B" w:rsidP="00B91B7F">
            <w:pPr>
              <w:snapToGrid w:val="0"/>
              <w:spacing w:line="240" w:lineRule="auto"/>
              <w:jc w:val="center"/>
              <w:rPr>
                <w:rFonts w:hAnsi="ＭＳ 明朝"/>
                <w:noProof/>
                <w:sz w:val="20"/>
              </w:rPr>
            </w:pPr>
            <w:r>
              <w:rPr>
                <w:rFonts w:hAnsi="ＭＳ 明朝"/>
                <w:noProof/>
                <w:sz w:val="20"/>
              </w:rPr>
              <w:drawing>
                <wp:inline distT="0" distB="0" distL="0" distR="0" wp14:anchorId="462ACC20" wp14:editId="72E5B8EB">
                  <wp:extent cx="410623" cy="1216324"/>
                  <wp:effectExtent l="0" t="0" r="889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342" cy="1271772"/>
                          </a:xfrm>
                          <a:prstGeom prst="rect">
                            <a:avLst/>
                          </a:prstGeom>
                          <a:noFill/>
                          <a:ln>
                            <a:noFill/>
                          </a:ln>
                        </pic:spPr>
                      </pic:pic>
                    </a:graphicData>
                  </a:graphic>
                </wp:inline>
              </w:drawing>
            </w:r>
          </w:p>
          <w:p w14:paraId="76766714" w14:textId="77777777" w:rsidR="000639F2" w:rsidRPr="00FB1012" w:rsidRDefault="00CA3635" w:rsidP="005E3D15">
            <w:pPr>
              <w:snapToGrid w:val="0"/>
              <w:spacing w:line="240" w:lineRule="auto"/>
              <w:ind w:firstLineChars="250" w:firstLine="500"/>
              <w:rPr>
                <w:rFonts w:ascii="ＭＳ ゴシック" w:eastAsia="ＭＳ ゴシック" w:hAnsi="ＭＳ ゴシック"/>
                <w:sz w:val="20"/>
              </w:rPr>
            </w:pPr>
            <w:r>
              <w:rPr>
                <w:rFonts w:ascii="ＭＳ ゴシック" w:eastAsia="ＭＳ ゴシック" w:hAnsi="ＭＳ ゴシック"/>
                <w:sz w:val="20"/>
              </w:rPr>
              <w:t>10</w:t>
            </w:r>
            <w:r w:rsidR="00B91B7F">
              <w:rPr>
                <w:rFonts w:ascii="ＭＳ ゴシック" w:eastAsia="ＭＳ ゴシック" w:hAnsi="ＭＳ ゴシック"/>
                <w:sz w:val="20"/>
              </w:rPr>
              <w:t>0mL</w:t>
            </w:r>
          </w:p>
        </w:tc>
        <w:tc>
          <w:tcPr>
            <w:tcW w:w="3544" w:type="dxa"/>
            <w:vAlign w:val="center"/>
          </w:tcPr>
          <w:p w14:paraId="375D6E11"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276" w:type="dxa"/>
            <w:tcBorders>
              <w:right w:val="single" w:sz="18" w:space="0" w:color="auto"/>
            </w:tcBorders>
            <w:vAlign w:val="center"/>
          </w:tcPr>
          <w:p w14:paraId="16544923" w14:textId="77777777" w:rsidR="000639F2" w:rsidRPr="00FB1012" w:rsidRDefault="006570F0"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MZ-SPS</w:t>
            </w:r>
          </w:p>
        </w:tc>
      </w:tr>
      <w:tr w:rsidR="000639F2" w:rsidRPr="00FB1012" w14:paraId="68192700" w14:textId="77777777" w:rsidTr="00EF2DCA">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75E33494"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559" w:type="dxa"/>
            <w:tcBorders>
              <w:left w:val="single" w:sz="4" w:space="0" w:color="auto"/>
              <w:bottom w:val="double" w:sz="12" w:space="0" w:color="000000"/>
              <w:right w:val="single" w:sz="4" w:space="0" w:color="auto"/>
            </w:tcBorders>
            <w:vAlign w:val="center"/>
          </w:tcPr>
          <w:p w14:paraId="286508FA" w14:textId="69A3D311" w:rsidR="000639F2" w:rsidRPr="00EF2DCA" w:rsidRDefault="00EF5AB2" w:rsidP="00EF2DCA">
            <w:pPr>
              <w:spacing w:line="0" w:lineRule="atLeast"/>
              <w:ind w:firstLineChars="305" w:firstLine="610"/>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3544" w:type="dxa"/>
            <w:tcBorders>
              <w:left w:val="single" w:sz="4" w:space="0" w:color="auto"/>
              <w:bottom w:val="double" w:sz="12" w:space="0" w:color="000000"/>
              <w:right w:val="single" w:sz="4" w:space="0" w:color="auto"/>
            </w:tcBorders>
            <w:vAlign w:val="center"/>
          </w:tcPr>
          <w:p w14:paraId="4716385C"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276" w:type="dxa"/>
            <w:tcBorders>
              <w:left w:val="single" w:sz="4" w:space="0" w:color="auto"/>
              <w:right w:val="single" w:sz="18" w:space="0" w:color="auto"/>
            </w:tcBorders>
            <w:vAlign w:val="center"/>
          </w:tcPr>
          <w:p w14:paraId="3A7CFD96" w14:textId="5ABEF9EA"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7777777"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本剤はスミル</w:t>
            </w:r>
            <w:r w:rsidR="004C60DF" w:rsidRPr="004C60DF">
              <w:rPr>
                <w:rFonts w:ascii="ＭＳ ゴシック" w:eastAsia="ＭＳ ゴシック" w:hAnsi="ＭＳ ゴシック" w:hint="eastAsia"/>
                <w:sz w:val="20"/>
              </w:rPr>
              <w:t>ローション3</w:t>
            </w:r>
            <w:r>
              <w:rPr>
                <w:rFonts w:ascii="ＭＳ ゴシック" w:eastAsia="ＭＳ ゴシック" w:hAnsi="ＭＳ ゴシック" w:hint="eastAsia"/>
                <w:sz w:val="20"/>
              </w:rPr>
              <w:t>%</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77777777" w:rsidR="00E16692" w:rsidRDefault="005B3976"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※スミルローション3%の資料より引用</w:t>
            </w:r>
          </w:p>
          <w:p w14:paraId="7E8B0868" w14:textId="77777777" w:rsidR="000639F2" w:rsidRPr="003A4CE2" w:rsidRDefault="00A25BEE"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sidR="00FD3C62">
              <w:rPr>
                <w:rFonts w:ascii="ＭＳ ゴシック" w:eastAsia="ＭＳ ゴシック" w:hAnsi="ＭＳ ゴシック" w:hint="eastAsia"/>
                <w:sz w:val="20"/>
              </w:rPr>
              <w:t>スミルローション3%及び標準製剤の効力は同等であると考えられた。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E87D06"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E87D06" w:rsidRPr="00B83F67"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9FDC" w14:textId="77777777" w:rsidR="00E67176" w:rsidRDefault="00E67176" w:rsidP="00982A6E">
      <w:pPr>
        <w:spacing w:line="240" w:lineRule="auto"/>
      </w:pPr>
      <w:r>
        <w:separator/>
      </w:r>
    </w:p>
  </w:endnote>
  <w:endnote w:type="continuationSeparator" w:id="0">
    <w:p w14:paraId="1294786B" w14:textId="77777777" w:rsidR="00E67176" w:rsidRDefault="00E67176"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1B4F" w14:textId="77777777" w:rsidR="00E67176" w:rsidRDefault="00E67176" w:rsidP="00982A6E">
      <w:pPr>
        <w:spacing w:line="240" w:lineRule="auto"/>
      </w:pPr>
      <w:r>
        <w:separator/>
      </w:r>
    </w:p>
  </w:footnote>
  <w:footnote w:type="continuationSeparator" w:id="0">
    <w:p w14:paraId="5B47E60E" w14:textId="77777777" w:rsidR="00E67176" w:rsidRDefault="00E67176"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9D42" w14:textId="1584F98C" w:rsidR="00982A6E" w:rsidRPr="00F3641F" w:rsidRDefault="00982A6E">
    <w:pPr>
      <w:pStyle w:val="a3"/>
      <w:rPr>
        <w:rFonts w:asciiTheme="majorEastAsia" w:eastAsiaTheme="majorEastAsia" w:hAnsiTheme="majorEastAsia"/>
      </w:rPr>
    </w:pPr>
    <w:r>
      <w:ptab w:relativeTo="margin" w:alignment="center" w:leader="none"/>
    </w:r>
    <w:r>
      <w:ptab w:relativeTo="margin" w:alignment="right" w:leader="none"/>
    </w:r>
    <w:r w:rsidR="00760064" w:rsidRPr="00F3641F">
      <w:rPr>
        <w:rFonts w:asciiTheme="majorEastAsia" w:eastAsiaTheme="majorEastAsia" w:hAnsiTheme="majorEastAsia"/>
      </w:rPr>
      <w:t>20</w:t>
    </w:r>
    <w:r w:rsidR="00976E92" w:rsidRPr="00F3641F">
      <w:rPr>
        <w:rFonts w:asciiTheme="majorEastAsia" w:eastAsiaTheme="majorEastAsia" w:hAnsiTheme="majorEastAsia" w:hint="eastAsia"/>
      </w:rPr>
      <w:t>2</w:t>
    </w:r>
    <w:r w:rsidR="005954F0" w:rsidRPr="00F3641F">
      <w:rPr>
        <w:rFonts w:asciiTheme="majorEastAsia" w:eastAsiaTheme="majorEastAsia" w:hAnsiTheme="majorEastAsia"/>
      </w:rPr>
      <w:t>1</w:t>
    </w:r>
    <w:r w:rsidR="002104D5" w:rsidRPr="00F3641F">
      <w:rPr>
        <w:rFonts w:asciiTheme="majorEastAsia" w:eastAsiaTheme="majorEastAsia" w:hAnsiTheme="majorEastAsia" w:hint="eastAsia"/>
      </w:rPr>
      <w:t>年</w:t>
    </w:r>
    <w:r w:rsidR="00976E92" w:rsidRPr="00F3641F">
      <w:rPr>
        <w:rFonts w:asciiTheme="majorEastAsia" w:eastAsiaTheme="majorEastAsia" w:hAnsiTheme="majorEastAsia" w:hint="eastAsia"/>
      </w:rPr>
      <w:t>4</w:t>
    </w:r>
    <w:r w:rsidR="002104D5" w:rsidRPr="00F3641F">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175A7"/>
    <w:rsid w:val="000414D2"/>
    <w:rsid w:val="00050D7F"/>
    <w:rsid w:val="000636EC"/>
    <w:rsid w:val="000639F2"/>
    <w:rsid w:val="000741A2"/>
    <w:rsid w:val="00076F98"/>
    <w:rsid w:val="000B0F05"/>
    <w:rsid w:val="000F4372"/>
    <w:rsid w:val="001156D6"/>
    <w:rsid w:val="001158A7"/>
    <w:rsid w:val="00127EF0"/>
    <w:rsid w:val="001354B9"/>
    <w:rsid w:val="0014631C"/>
    <w:rsid w:val="00160E54"/>
    <w:rsid w:val="00163BC7"/>
    <w:rsid w:val="001A19F4"/>
    <w:rsid w:val="001C0967"/>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75201"/>
    <w:rsid w:val="003D3947"/>
    <w:rsid w:val="00477B17"/>
    <w:rsid w:val="00481106"/>
    <w:rsid w:val="00493073"/>
    <w:rsid w:val="004A6571"/>
    <w:rsid w:val="004C60DF"/>
    <w:rsid w:val="004D1AC4"/>
    <w:rsid w:val="004D43B8"/>
    <w:rsid w:val="004E4D46"/>
    <w:rsid w:val="00527AD8"/>
    <w:rsid w:val="00581815"/>
    <w:rsid w:val="005954F0"/>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722069"/>
    <w:rsid w:val="00755975"/>
    <w:rsid w:val="0075619E"/>
    <w:rsid w:val="00760064"/>
    <w:rsid w:val="00775F69"/>
    <w:rsid w:val="007812D2"/>
    <w:rsid w:val="007934E2"/>
    <w:rsid w:val="007E2631"/>
    <w:rsid w:val="007E4404"/>
    <w:rsid w:val="007F0DF8"/>
    <w:rsid w:val="007F5D9F"/>
    <w:rsid w:val="00804B40"/>
    <w:rsid w:val="0081482F"/>
    <w:rsid w:val="008A1C72"/>
    <w:rsid w:val="008C4814"/>
    <w:rsid w:val="008F57B3"/>
    <w:rsid w:val="008F6C99"/>
    <w:rsid w:val="00956284"/>
    <w:rsid w:val="00957FB3"/>
    <w:rsid w:val="00960CE4"/>
    <w:rsid w:val="00963867"/>
    <w:rsid w:val="00976E92"/>
    <w:rsid w:val="00982A6E"/>
    <w:rsid w:val="00984916"/>
    <w:rsid w:val="00992B1A"/>
    <w:rsid w:val="009B0EE4"/>
    <w:rsid w:val="009F49A9"/>
    <w:rsid w:val="009F742D"/>
    <w:rsid w:val="00A03EE3"/>
    <w:rsid w:val="00A23320"/>
    <w:rsid w:val="00A25BEE"/>
    <w:rsid w:val="00A946B7"/>
    <w:rsid w:val="00AA3C93"/>
    <w:rsid w:val="00AA5B0C"/>
    <w:rsid w:val="00AD43C2"/>
    <w:rsid w:val="00B12166"/>
    <w:rsid w:val="00B83F67"/>
    <w:rsid w:val="00B91B7F"/>
    <w:rsid w:val="00B94E84"/>
    <w:rsid w:val="00B9568B"/>
    <w:rsid w:val="00BB6792"/>
    <w:rsid w:val="00BC08F2"/>
    <w:rsid w:val="00BC6654"/>
    <w:rsid w:val="00BD02D5"/>
    <w:rsid w:val="00BD0C5D"/>
    <w:rsid w:val="00BD10E0"/>
    <w:rsid w:val="00C11053"/>
    <w:rsid w:val="00C373CD"/>
    <w:rsid w:val="00C37AF0"/>
    <w:rsid w:val="00C642A5"/>
    <w:rsid w:val="00CA3635"/>
    <w:rsid w:val="00CC1EC1"/>
    <w:rsid w:val="00CD0BDD"/>
    <w:rsid w:val="00CD1B4A"/>
    <w:rsid w:val="00CF0532"/>
    <w:rsid w:val="00D16AE8"/>
    <w:rsid w:val="00D5312D"/>
    <w:rsid w:val="00D85EB3"/>
    <w:rsid w:val="00D8716F"/>
    <w:rsid w:val="00D957FC"/>
    <w:rsid w:val="00DB33E7"/>
    <w:rsid w:val="00DC0C26"/>
    <w:rsid w:val="00E071B7"/>
    <w:rsid w:val="00E16692"/>
    <w:rsid w:val="00E54C82"/>
    <w:rsid w:val="00E67176"/>
    <w:rsid w:val="00E818E8"/>
    <w:rsid w:val="00EA064C"/>
    <w:rsid w:val="00ED11FF"/>
    <w:rsid w:val="00EE26AF"/>
    <w:rsid w:val="00EE5B2B"/>
    <w:rsid w:val="00EF2DCA"/>
    <w:rsid w:val="00EF5AB2"/>
    <w:rsid w:val="00F30800"/>
    <w:rsid w:val="00F3641F"/>
    <w:rsid w:val="00F4681C"/>
    <w:rsid w:val="00FA0030"/>
    <w:rsid w:val="00FB5013"/>
    <w:rsid w:val="00FD3C62"/>
    <w:rsid w:val="00FD541C"/>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小野 由理</cp:lastModifiedBy>
  <cp:revision>14</cp:revision>
  <cp:lastPrinted>2018-08-02T06:04:00Z</cp:lastPrinted>
  <dcterms:created xsi:type="dcterms:W3CDTF">2018-08-24T00:02:00Z</dcterms:created>
  <dcterms:modified xsi:type="dcterms:W3CDTF">2021-03-08T07:22:00Z</dcterms:modified>
</cp:coreProperties>
</file>